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pBdr>
          <w:bottom w:val="single" w:sz="18" w:space="7" w:color="1E63FF"/>
        </w:pBdr>
      </w:pPr>
      <w:r>
        <w:rPr>
          <w:b/>
          <w:color w:val="0F1D35"/>
          <w:sz w:val="48"/>
        </w:rPr>
        <w:t>AGENDA WARSZTATU PRZEDMIGRACYJNEGO</w:t>
      </w:r>
    </w:p>
    <w:p>
      <w:pPr>
        <w:spacing w:after="140"/>
      </w:pPr>
      <w:r>
        <w:rPr>
          <w:b/>
          <w:color w:val="1E63FF"/>
          <w:sz w:val="22"/>
        </w:rPr>
        <w:t>Klient / Organizacja  |  dokument roboczy na pierwsze spotkanie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037"/>
            <w:shd w:fill="EEF4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2F6BFF"/>
              <w:left w:val="single" w:sz="8" w:color="2F6BFF"/>
              <w:bottom w:val="single" w:sz="4" w:color="D7E3FF"/>
              <w:right w:val="single" w:sz="4" w:color="D7E3FF"/>
            </w:tcBorders>
          </w:tcPr>
          <w:p>
            <w:r>
              <w:rPr>
                <w:b/>
                <w:color w:val="0F1D35"/>
                <w:sz w:val="19"/>
              </w:rPr>
              <w:t xml:space="preserve">Cel warsztatu:  </w:t>
            </w:r>
            <w:r>
              <w:rPr>
                <w:color w:val="37465C"/>
                <w:sz w:val="18"/>
              </w:rPr>
              <w:t>uzgodnienie informacji i decyzji potrzebnych do zaprojektowania bezpiecznej migracji danych, określenia zakresu analizy technicznej oraz przygotowania podstaw do harmonogramu i wyceny projektu.</w:t>
            </w:r>
          </w:p>
        </w:tc>
      </w:tr>
    </w:tbl>
    <w:p>
      <w:pPr>
        <w:spacing w:after="0"/>
      </w:pPr>
    </w:p>
    <w:p>
      <w:pPr>
        <w:spacing w:before="140" w:after="80"/>
      </w:pPr>
      <w:r>
        <w:rPr>
          <w:b/>
          <w:color w:val="1E63FF"/>
          <w:sz w:val="17"/>
        </w:rPr>
        <w:t>DANE SPOTKANIA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7200"/>
      </w:tblGrid>
      <w:tr>
        <w:tc>
          <w:tcPr>
            <w:tcW w:type="dxa" w:w="5018"/>
            <w:shd w:fill="F1F4F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sz w:val="17"/>
              </w:rPr>
              <w:t>Data / godzina</w:t>
            </w:r>
          </w:p>
        </w:tc>
        <w:tc>
          <w:tcPr>
            <w:tcW w:type="dxa" w:w="501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sz w:val="17"/>
              </w:rPr>
              <w:t>........................................................</w:t>
            </w:r>
          </w:p>
        </w:tc>
      </w:tr>
      <w:tr>
        <w:tc>
          <w:tcPr>
            <w:tcW w:type="dxa" w:w="5018"/>
            <w:shd w:fill="F1F4F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sz w:val="17"/>
              </w:rPr>
              <w:t>Uczestnicy Klient / Organizacja</w:t>
            </w:r>
          </w:p>
        </w:tc>
        <w:tc>
          <w:tcPr>
            <w:tcW w:type="dxa" w:w="501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sz w:val="17"/>
              </w:rPr>
              <w:t>........................................................</w:t>
            </w:r>
          </w:p>
        </w:tc>
      </w:tr>
      <w:tr>
        <w:tc>
          <w:tcPr>
            <w:tcW w:type="dxa" w:w="5018"/>
            <w:shd w:fill="F1F4F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sz w:val="17"/>
              </w:rPr>
              <w:t>Uczestnicy EINTELLIX</w:t>
            </w:r>
          </w:p>
        </w:tc>
        <w:tc>
          <w:tcPr>
            <w:tcW w:type="dxa" w:w="501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sz w:val="17"/>
              </w:rPr>
              <w:t>........................................................</w:t>
            </w:r>
          </w:p>
        </w:tc>
      </w:tr>
      <w:tr>
        <w:tc>
          <w:tcPr>
            <w:tcW w:type="dxa" w:w="5018"/>
            <w:shd w:fill="F1F4F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b/>
                <w:sz w:val="17"/>
              </w:rPr>
              <w:t>Prowadzący / protokolant</w:t>
            </w:r>
          </w:p>
        </w:tc>
        <w:tc>
          <w:tcPr>
            <w:tcW w:type="dxa" w:w="5018"/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tcMar>
              <w:top w:w="85" w:type="dxa"/>
              <w:start w:w="95" w:type="dxa"/>
              <w:bottom w:w="85" w:type="dxa"/>
              <w:end w:w="95" w:type="dxa"/>
            </w:tcMar>
          </w:tcPr>
          <w:p>
            <w:r>
              <w:rPr>
                <w:sz w:val="17"/>
              </w:rPr>
              <w:t>........................................................</w:t>
            </w:r>
          </w:p>
        </w:tc>
      </w:tr>
    </w:tbl>
    <w:p>
      <w:pPr>
        <w:spacing w:before="140" w:after="80"/>
      </w:pPr>
      <w:r>
        <w:rPr>
          <w:b/>
          <w:color w:val="1E63FF"/>
          <w:sz w:val="17"/>
        </w:rPr>
        <w:t>PROPONOWANY PRZEBIEG - 90 MINUT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3240"/>
        <w:gridCol w:w="5112"/>
      </w:tblGrid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Czas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Blok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Rezultat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0-10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Otwarcie i cel projektu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Potwierdzony cel, uczestnicy, zakres spotkania.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10-25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Systemy i dane źródłowe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Lista systemów, właścicieli danych, dostępów i ograniczeń.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25-40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Zakres danych i jakość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Wstępny zakres migracji, historia, załączniki, problemy jakościowe.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40-55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Integracje i ciągłość działania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Kluczowe integracje, downtime, okna serwisowe, zależności.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55-70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Model migracji i bezpieczeństwo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Wymagania dla modelu migracji, rollback, testy i ochrona danych.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70-82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Walidacja i odbiór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Kryteria poprawności, właściciele akceptacji, sposób raportowania.</w:t>
            </w:r>
          </w:p>
        </w:tc>
      </w:tr>
      <w:tr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82-90 min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Decyzje i następne kroki</w:t>
            </w:r>
          </w:p>
        </w:tc>
        <w:tc>
          <w:tcPr>
            <w:tcW w:type="dxa" w:w="334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Lista otwartych punktów, odpowiedzialności i termin kolejnego etapu.</w:t>
            </w:r>
          </w:p>
        </w:tc>
      </w:tr>
    </w:tbl>
    <w:p>
      <w:r>
        <w:br w:type="page"/>
      </w:r>
    </w:p>
    <w:p>
      <w:pPr>
        <w:spacing w:before="80" w:after="140"/>
      </w:pPr>
      <w:r>
        <w:rPr>
          <w:b/>
          <w:color w:val="0F1D35"/>
          <w:sz w:val="34"/>
        </w:rPr>
        <w:t>1. Obszary do omówienia podczas warsztatu</w:t>
      </w:r>
    </w:p>
    <w:p>
      <w:pPr>
        <w:spacing w:before="140" w:after="80"/>
      </w:pPr>
      <w:r>
        <w:rPr>
          <w:b/>
          <w:color w:val="1E63FF"/>
          <w:sz w:val="17"/>
        </w:rPr>
        <w:t>MATERIAŁY PRZYDATNE PRZED SPOTKANIEM</w:t>
      </w:r>
    </w:p>
    <w:p>
      <w:pPr>
        <w:pStyle w:val="ListBullet"/>
        <w:spacing w:after="60"/>
        <w:ind w:left="216"/>
      </w:pPr>
      <w:r>
        <w:rPr>
          <w:sz w:val="19"/>
        </w:rPr>
        <w:t>wypełniony kwestionariusz przedmigracyjny (w możliwym zakresie)</w:t>
      </w:r>
    </w:p>
    <w:p>
      <w:pPr>
        <w:pStyle w:val="ListBullet"/>
        <w:spacing w:after="60"/>
        <w:ind w:left="216"/>
      </w:pPr>
      <w:r>
        <w:rPr>
          <w:sz w:val="19"/>
        </w:rPr>
        <w:t>lista systemów i właścicieli biznesowych / technicznych</w:t>
      </w:r>
    </w:p>
    <w:p>
      <w:pPr>
        <w:pStyle w:val="ListBullet"/>
        <w:spacing w:after="60"/>
        <w:ind w:left="216"/>
      </w:pPr>
      <w:r>
        <w:rPr>
          <w:sz w:val="19"/>
        </w:rPr>
        <w:t>informacja o dostępnych eksportach, API i dokumentacji</w:t>
      </w:r>
    </w:p>
    <w:p>
      <w:pPr>
        <w:pStyle w:val="ListBullet"/>
        <w:spacing w:after="60"/>
        <w:ind w:left="216"/>
      </w:pPr>
      <w:r>
        <w:rPr>
          <w:sz w:val="19"/>
        </w:rPr>
        <w:t>orientacyjny wolumen bazy oraz liczba dokumentów / załączników</w:t>
      </w:r>
    </w:p>
    <w:p>
      <w:pPr>
        <w:pStyle w:val="ListBullet"/>
        <w:spacing w:after="60"/>
        <w:ind w:left="216"/>
      </w:pPr>
      <w:r>
        <w:rPr>
          <w:sz w:val="19"/>
        </w:rPr>
        <w:t>znane ograniczenia organizacyjne lub terminowe</w:t>
      </w:r>
    </w:p>
    <w:p>
      <w:pPr>
        <w:spacing w:after="160" w:line="259" w:lineRule="auto"/>
      </w:pPr>
      <w:r>
        <w:rPr>
          <w:color w:val="4A5568"/>
          <w:sz w:val="19"/>
        </w:rPr>
        <w:t>Poniższe pytania służą do zebrania informacji potrzebnych do dalszej analizy. Nie wszystkie odpowiedzi muszą być znane na pierwszym spotkaniu - ważne jest wskazanie właściciela informacji i sposobu jej potwierdzenia.</w:t>
      </w:r>
    </w:p>
    <w:p>
      <w:pPr>
        <w:spacing w:before="140" w:after="80"/>
      </w:pPr>
      <w:r>
        <w:rPr>
          <w:b/>
          <w:color w:val="1E63FF"/>
          <w:sz w:val="17"/>
        </w:rPr>
        <w:t>A. CEL I ZAKRES BIZNESOWY</w:t>
      </w:r>
    </w:p>
    <w:p>
      <w:pPr>
        <w:pStyle w:val="ListBullet"/>
        <w:spacing w:after="60"/>
        <w:ind w:left="216"/>
      </w:pPr>
      <w:r>
        <w:rPr>
          <w:sz w:val="19"/>
        </w:rPr>
        <w:t>Jaki problem biznesowy ma rozwiązać migracja i jaki jest oczekiwany rezultat?</w:t>
      </w:r>
    </w:p>
    <w:p>
      <w:pPr>
        <w:pStyle w:val="ListBullet"/>
        <w:spacing w:after="60"/>
        <w:ind w:left="216"/>
      </w:pPr>
      <w:r>
        <w:rPr>
          <w:sz w:val="19"/>
        </w:rPr>
        <w:t>Które procesy i jednostki organizacyjne obejmuje projekt?</w:t>
      </w:r>
    </w:p>
    <w:p>
      <w:pPr>
        <w:pStyle w:val="ListBullet"/>
        <w:spacing w:after="60"/>
        <w:ind w:left="216"/>
      </w:pPr>
      <w:r>
        <w:rPr>
          <w:sz w:val="19"/>
        </w:rPr>
        <w:t>Co musi znaleźć się w pierwszej wersji nowego środowiska, a co może zostać przeniesione później?</w:t>
      </w:r>
    </w:p>
    <w:p>
      <w:pPr>
        <w:pStyle w:val="ListBullet"/>
        <w:spacing w:after="60"/>
        <w:ind w:left="216"/>
      </w:pPr>
      <w:r>
        <w:rPr>
          <w:sz w:val="19"/>
        </w:rPr>
        <w:t>Czy istnieją nieprzekraczalne terminy biznesowe, regulacyjne lub kontraktowe?</w:t>
      </w:r>
    </w:p>
    <w:p>
      <w:pPr>
        <w:spacing w:before="140" w:after="80"/>
      </w:pPr>
      <w:r>
        <w:rPr>
          <w:b/>
          <w:color w:val="1E63FF"/>
          <w:sz w:val="17"/>
        </w:rPr>
        <w:t>B. SYSTEMY ŹRÓDŁOWE I DOSTĘP</w:t>
      </w:r>
    </w:p>
    <w:p>
      <w:pPr>
        <w:pStyle w:val="ListBullet"/>
        <w:spacing w:after="60"/>
        <w:ind w:left="216"/>
      </w:pPr>
      <w:r>
        <w:rPr>
          <w:sz w:val="19"/>
        </w:rPr>
        <w:t>Z jakich systemów, baz, plików i repozytoriów pochodzą dane?</w:t>
      </w:r>
    </w:p>
    <w:p>
      <w:pPr>
        <w:pStyle w:val="ListBullet"/>
        <w:spacing w:after="60"/>
        <w:ind w:left="216"/>
      </w:pPr>
      <w:r>
        <w:rPr>
          <w:sz w:val="19"/>
        </w:rPr>
        <w:t>Kto posiada uprawnienia administracyjne i wiedzę o strukturze danych?</w:t>
      </w:r>
    </w:p>
    <w:p>
      <w:pPr>
        <w:pStyle w:val="ListBullet"/>
        <w:spacing w:after="60"/>
        <w:ind w:left="216"/>
      </w:pPr>
      <w:r>
        <w:rPr>
          <w:sz w:val="19"/>
        </w:rPr>
        <w:t>Czy dostępny jest schemat bazy, dokumentacja API, eksport próbny lub środowisko testowe?</w:t>
      </w:r>
    </w:p>
    <w:p>
      <w:pPr>
        <w:pStyle w:val="ListBullet"/>
        <w:spacing w:after="60"/>
        <w:ind w:left="216"/>
      </w:pPr>
      <w:r>
        <w:rPr>
          <w:sz w:val="19"/>
        </w:rPr>
        <w:t>Czy obecny dostawca systemu będzie uczestniczył w projekcie?</w:t>
      </w:r>
    </w:p>
    <w:p>
      <w:pPr>
        <w:spacing w:before="140" w:after="80"/>
      </w:pPr>
      <w:r>
        <w:rPr>
          <w:b/>
          <w:color w:val="1E63FF"/>
          <w:sz w:val="17"/>
        </w:rPr>
        <w:t>C. DANE I JAKOŚĆ</w:t>
      </w:r>
    </w:p>
    <w:p>
      <w:pPr>
        <w:pStyle w:val="ListBullet"/>
        <w:spacing w:after="60"/>
        <w:ind w:left="216"/>
      </w:pPr>
      <w:r>
        <w:rPr>
          <w:sz w:val="19"/>
        </w:rPr>
        <w:t>Jakie kategorie danych i jaka historia mają zostać przeniesione?</w:t>
      </w:r>
    </w:p>
    <w:p>
      <w:pPr>
        <w:pStyle w:val="ListBullet"/>
        <w:spacing w:after="60"/>
        <w:ind w:left="216"/>
      </w:pPr>
      <w:r>
        <w:rPr>
          <w:sz w:val="19"/>
        </w:rPr>
        <w:t>Jakie są orientacyjne wolumeny i tempo przyrostu danych?</w:t>
      </w:r>
    </w:p>
    <w:p>
      <w:pPr>
        <w:pStyle w:val="ListBullet"/>
        <w:spacing w:after="60"/>
        <w:ind w:left="216"/>
      </w:pPr>
      <w:r>
        <w:rPr>
          <w:sz w:val="19"/>
        </w:rPr>
        <w:t>Czy występują duplikaty, braki, niespójności, rekordy archiwalne lub błędne formaty?</w:t>
      </w:r>
    </w:p>
    <w:p>
      <w:pPr>
        <w:pStyle w:val="ListBullet"/>
        <w:spacing w:after="60"/>
        <w:ind w:left="216"/>
      </w:pPr>
      <w:r>
        <w:rPr>
          <w:sz w:val="19"/>
        </w:rPr>
        <w:t>Czy dokumenty i załączniki są powiązane z rekordami w sposób jednoznaczny?</w:t>
      </w:r>
    </w:p>
    <w:p>
      <w:pPr>
        <w:spacing w:before="140" w:after="80"/>
      </w:pPr>
      <w:r>
        <w:rPr>
          <w:b/>
          <w:color w:val="1E63FF"/>
          <w:sz w:val="17"/>
        </w:rPr>
        <w:t>D. INTEGRACJE I OPERACJE</w:t>
      </w:r>
    </w:p>
    <w:p>
      <w:pPr>
        <w:pStyle w:val="ListBullet"/>
        <w:spacing w:after="60"/>
        <w:ind w:left="216"/>
      </w:pPr>
      <w:r>
        <w:rPr>
          <w:sz w:val="19"/>
        </w:rPr>
        <w:t>Jakie systemy zewnętrzne zależą od obecnej bazy lub korzystają z jej danych?</w:t>
      </w:r>
    </w:p>
    <w:p>
      <w:pPr>
        <w:pStyle w:val="ListBullet"/>
        <w:spacing w:after="60"/>
        <w:ind w:left="216"/>
      </w:pPr>
      <w:r>
        <w:rPr>
          <w:sz w:val="19"/>
        </w:rPr>
        <w:t>Czy podczas migracji system może zostać zatrzymany? Na jak długo?</w:t>
      </w:r>
    </w:p>
    <w:p>
      <w:pPr>
        <w:pStyle w:val="ListBullet"/>
        <w:spacing w:after="60"/>
        <w:ind w:left="216"/>
      </w:pPr>
      <w:r>
        <w:rPr>
          <w:sz w:val="19"/>
        </w:rPr>
        <w:t>Czy konieczne jest działanie równoległe lub synchronizacja zmian?</w:t>
      </w:r>
    </w:p>
    <w:p>
      <w:pPr>
        <w:pStyle w:val="ListBullet"/>
        <w:spacing w:after="60"/>
        <w:ind w:left="216"/>
      </w:pPr>
      <w:r>
        <w:rPr>
          <w:sz w:val="19"/>
        </w:rPr>
        <w:t>Jakie procesy są krytyczne i nie mogą zostać przerwane?</w:t>
      </w:r>
    </w:p>
    <w:p>
      <w:r>
        <w:br w:type="page"/>
      </w:r>
    </w:p>
    <w:p>
      <w:pPr>
        <w:spacing w:before="80" w:after="140"/>
      </w:pPr>
      <w:r>
        <w:rPr>
          <w:b/>
          <w:color w:val="0F1D35"/>
          <w:sz w:val="34"/>
        </w:rPr>
        <w:t>2. Lista decyzji do podjęcia</w:t>
      </w:r>
    </w:p>
    <w:p>
      <w:pPr>
        <w:spacing w:after="160" w:line="259" w:lineRule="auto"/>
      </w:pPr>
      <w:r>
        <w:rPr>
          <w:color w:val="4A5568"/>
          <w:sz w:val="19"/>
        </w:rPr>
        <w:t>Tabela poniżej jest rejestrem decyzji warsztatowych. Na pierwszym spotkaniu część pozycji może pozostać otwarta; w takim przypadku należy wskazać właściciela i termin dostarczenia brakującej informacji.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4032"/>
        <w:gridCol w:w="1512"/>
        <w:gridCol w:w="1728"/>
        <w:gridCol w:w="1872"/>
      </w:tblGrid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Decyzja / ustalenie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Właściciel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Termin / uwagi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1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Zakres systemów źródłowych objętych migracją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2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Zakres danych i okres historyczny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3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Zakres dokumentów / załączników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4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Sposób dostępu i eksportu danych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5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Poziom oczyszczania i deduplikacji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6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Wymagany model migracji / warianty do analizy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7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Dopuszczalny downtime i termin cutover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8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Liczba i zakres migracji próbnych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9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Kryteria walidacji i odbioru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10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Właściciele biznesowi i techniczni po stronie klienta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11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Wymagania bezpieczeństwa i zasady pracy na danych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12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Zakres etapu analitycznego EINTELLIX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</w:tr>
    </w:tbl>
    <w:p>
      <w:pPr>
        <w:spacing w:before="140" w:after="80"/>
      </w:pPr>
      <w:r>
        <w:rPr>
          <w:b/>
          <w:color w:val="1E63FF"/>
          <w:sz w:val="17"/>
        </w:rPr>
        <w:t>STATUSY DO STOSOWANIA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</w:tblGrid>
      <w:tr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1E63FF"/>
          </w:tcPr>
          <w:p>
            <w:r>
              <w:rPr>
                <w:b/>
                <w:color w:val="FFFFFF"/>
                <w:sz w:val="15"/>
              </w:rPr>
              <w:t>USTALONE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1E63FF"/>
          </w:tcPr>
          <w:p>
            <w:r>
              <w:rPr>
                <w:b/>
                <w:color w:val="FFFFFF"/>
                <w:sz w:val="15"/>
              </w:rPr>
              <w:t>DO WERYFIKACJI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1E63FF"/>
          </w:tcPr>
          <w:p>
            <w:r>
              <w:rPr>
                <w:b/>
                <w:color w:val="FFFFFF"/>
                <w:sz w:val="15"/>
              </w:rPr>
              <w:t>OTWARTE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1E63FF"/>
          </w:tcPr>
          <w:p>
            <w:r>
              <w:rPr>
                <w:b/>
                <w:color w:val="FFFFFF"/>
                <w:sz w:val="15"/>
              </w:rPr>
              <w:t>POZA ZAKRESEM</w:t>
            </w:r>
          </w:p>
        </w:tc>
      </w:tr>
      <w:tr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decyzja potwierdzona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wymaga potwierdzenia danych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brak decyzji / informacji</w:t>
            </w:r>
          </w:p>
        </w:tc>
        <w:tc>
          <w:tcPr>
            <w:tcW w:type="dxa" w:w="25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nie dotyczy tego projektu</w:t>
            </w:r>
          </w:p>
        </w:tc>
      </w:tr>
    </w:tbl>
    <w:p>
      <w:pPr>
        <w:spacing w:before="140" w:after="80"/>
      </w:pPr>
      <w:r>
        <w:rPr>
          <w:b/>
          <w:color w:val="1E63FF"/>
          <w:sz w:val="17"/>
        </w:rPr>
        <w:t>DECYZJE, KTÓRYCH NIE NALEŻY PODEJMOWAĆ PRZED ANALIZĄ TECHNICZNĄ</w:t>
      </w:r>
    </w:p>
    <w:p>
      <w:pPr>
        <w:pStyle w:val="ListBullet"/>
        <w:spacing w:after="60"/>
        <w:ind w:left="216"/>
      </w:pPr>
      <w:r>
        <w:rPr>
          <w:sz w:val="19"/>
        </w:rPr>
        <w:t>ostateczna cena migracji i termin produkcyjnego przełączenia</w:t>
      </w:r>
    </w:p>
    <w:p>
      <w:pPr>
        <w:pStyle w:val="ListBullet"/>
        <w:spacing w:after="60"/>
        <w:ind w:left="216"/>
      </w:pPr>
      <w:r>
        <w:rPr>
          <w:sz w:val="19"/>
        </w:rPr>
        <w:t>finalny model migracji, jeśli nie znamy jeszcze ograniczeń systemów źródłowych</w:t>
      </w:r>
    </w:p>
    <w:p>
      <w:pPr>
        <w:pStyle w:val="ListBullet"/>
        <w:spacing w:after="60"/>
        <w:ind w:left="216"/>
      </w:pPr>
      <w:r>
        <w:rPr>
          <w:sz w:val="19"/>
        </w:rPr>
        <w:t>gwarancja kompletności danych bez ustalenia kryteriów walidacji</w:t>
      </w:r>
    </w:p>
    <w:p>
      <w:pPr>
        <w:pStyle w:val="ListBullet"/>
        <w:spacing w:after="60"/>
        <w:ind w:left="216"/>
      </w:pPr>
      <w:r>
        <w:rPr>
          <w:sz w:val="19"/>
        </w:rPr>
        <w:t>zakres odpowiedzialności EINTELLIX za błędy istniejące w danych źródłowych</w:t>
      </w:r>
    </w:p>
    <w:p>
      <w:r>
        <w:br w:type="page"/>
      </w:r>
    </w:p>
    <w:p>
      <w:pPr>
        <w:spacing w:before="80" w:after="140"/>
      </w:pPr>
      <w:r>
        <w:rPr>
          <w:b/>
          <w:color w:val="0F1D35"/>
          <w:sz w:val="34"/>
        </w:rPr>
        <w:t>3. Ustalenia, działania i rezultaty warsztatu</w:t>
      </w:r>
    </w:p>
    <w:p>
      <w:pPr>
        <w:spacing w:after="160" w:line="259" w:lineRule="auto"/>
      </w:pPr>
      <w:r>
        <w:rPr>
          <w:color w:val="4A5568"/>
          <w:sz w:val="19"/>
        </w:rPr>
        <w:t>Celem końcowej części spotkania jest zamknięcie możliwie dużej liczby tematów oraz jednoznaczne przypisanie brakujących informacji do konkretnych osób.</w:t>
      </w:r>
    </w:p>
    <w:p>
      <w:pPr>
        <w:spacing w:before="140" w:after="80"/>
      </w:pPr>
      <w:r>
        <w:rPr>
          <w:b/>
          <w:color w:val="1E63FF"/>
          <w:sz w:val="17"/>
        </w:rPr>
        <w:t>REJESTR DZIAŁAŃ PO SPOTKANIU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3960"/>
        <w:gridCol w:w="1656"/>
        <w:gridCol w:w="1656"/>
        <w:gridCol w:w="1800"/>
      </w:tblGrid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Działanie / materiał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Odpowiedzialny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Termin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0F1D35"/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1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2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3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4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5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  <w:tr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6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................................................................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................</w:t>
            </w:r>
          </w:p>
        </w:tc>
        <w:tc>
          <w:tcPr>
            <w:tcW w:type="dxa" w:w="200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  <w:shd w:fill="F6F8FB"/>
          </w:tcPr>
          <w:p>
            <w:r>
              <w:rPr>
                <w:color w:val="243043"/>
                <w:sz w:val="15"/>
              </w:rPr>
              <w:t>OTWARTE</w:t>
            </w:r>
          </w:p>
        </w:tc>
      </w:tr>
    </w:tbl>
    <w:p>
      <w:pPr>
        <w:spacing w:before="140" w:after="80"/>
      </w:pPr>
      <w:r>
        <w:rPr>
          <w:b/>
          <w:color w:val="1E63FF"/>
          <w:sz w:val="17"/>
        </w:rPr>
        <w:t>OCZEKIWANE REZULTATY WARSZTATU</w:t>
      </w:r>
    </w:p>
    <w:p>
      <w:pPr>
        <w:pStyle w:val="ListBullet"/>
        <w:spacing w:after="60"/>
        <w:ind w:left="216"/>
      </w:pPr>
      <w:r>
        <w:rPr>
          <w:sz w:val="19"/>
        </w:rPr>
        <w:t>potwierdzony kontekst biznesowy i techniczny projektu</w:t>
      </w:r>
    </w:p>
    <w:p>
      <w:pPr>
        <w:pStyle w:val="ListBullet"/>
        <w:spacing w:after="60"/>
        <w:ind w:left="216"/>
      </w:pPr>
      <w:r>
        <w:rPr>
          <w:sz w:val="19"/>
        </w:rPr>
        <w:t>lista systemów, danych, integracji i ograniczeń wymagających analizy</w:t>
      </w:r>
    </w:p>
    <w:p>
      <w:pPr>
        <w:pStyle w:val="ListBullet"/>
        <w:spacing w:after="60"/>
        <w:ind w:left="216"/>
      </w:pPr>
      <w:r>
        <w:rPr>
          <w:sz w:val="19"/>
        </w:rPr>
        <w:t>rejestr decyzji oraz otwartych tematów</w:t>
      </w:r>
    </w:p>
    <w:p>
      <w:pPr>
        <w:pStyle w:val="ListBullet"/>
        <w:spacing w:after="60"/>
        <w:ind w:left="216"/>
      </w:pPr>
      <w:r>
        <w:rPr>
          <w:sz w:val="19"/>
        </w:rPr>
        <w:t>lista materiałów, które klient udostępni do audytu</w:t>
      </w:r>
    </w:p>
    <w:p>
      <w:pPr>
        <w:pStyle w:val="ListBullet"/>
        <w:spacing w:after="60"/>
        <w:ind w:left="216"/>
      </w:pPr>
      <w:r>
        <w:rPr>
          <w:sz w:val="19"/>
        </w:rPr>
        <w:t>uzgodniony zakres kolejnego etapu: analiza / audyt przedmigracyjny</w:t>
      </w:r>
    </w:p>
    <w:p>
      <w:pPr>
        <w:pStyle w:val="ListBullet"/>
        <w:spacing w:after="60"/>
        <w:ind w:left="216"/>
      </w:pPr>
      <w:r>
        <w:rPr>
          <w:sz w:val="19"/>
        </w:rPr>
        <w:t>podstawa do opracowania mappingu, planu testów, harmonogramu oraz wyceny migracji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10037"/>
            <w:shd w:fill="EEF4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2F6BFF"/>
              <w:left w:val="single" w:sz="8" w:color="2F6BFF"/>
              <w:bottom w:val="single" w:sz="4" w:color="D7E3FF"/>
              <w:right w:val="single" w:sz="4" w:color="D7E3FF"/>
            </w:tcBorders>
          </w:tcPr>
          <w:p>
            <w:r>
              <w:rPr>
                <w:b/>
                <w:color w:val="0F1D35"/>
                <w:sz w:val="19"/>
              </w:rPr>
              <w:t xml:space="preserve">Proponowany następny etap:  </w:t>
            </w:r>
            <w:r>
              <w:rPr>
                <w:color w:val="37465C"/>
                <w:sz w:val="18"/>
              </w:rPr>
              <w:t>odpłatny etap analityczny EINTELLIX obejmujący analizę danych źródłowych, ocenę jakości i ryzyk, weryfikację możliwości eksportu, przygotowanie wstępnego mappingu, dobór modelu migracji oraz przygotowanie szczegółowego zakresu i wyceny wykonawczej.</w:t>
            </w:r>
          </w:p>
        </w:tc>
      </w:tr>
    </w:tbl>
    <w:p>
      <w:pPr>
        <w:spacing w:after="0"/>
      </w:pPr>
    </w:p>
    <w:p>
      <w:pPr>
        <w:spacing w:before="140" w:after="80"/>
      </w:pPr>
      <w:r>
        <w:rPr>
          <w:b/>
          <w:color w:val="1E63FF"/>
          <w:sz w:val="17"/>
        </w:rPr>
        <w:t>NOTATKI ZE SPOTKANIA</w:t>
      </w:r>
    </w:p>
    <w:p>
      <w:pPr>
        <w:spacing w:after="40"/>
      </w:pPr>
      <w:r>
        <w:rPr>
          <w:color w:val="9BA4B1"/>
          <w:sz w:val="17"/>
        </w:rPr>
        <w:t>........................................................................................................................................................................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BA4B1"/>
          <w:sz w:val="17"/>
        </w:rPr>
        <w:t>........................................................................................................................................................................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color w:val="9BA4B1"/>
          <w:sz w:val="17"/>
        </w:rPr>
        <w:t>........................................................................................................................................................................</w:t>
      </w:r>
    </w:p>
    <w:p>
      <w:pPr>
        <w:spacing w:before="140" w:after="80"/>
      </w:pPr>
      <w:r>
        <w:rPr>
          <w:b/>
          <w:color w:val="1E63FF"/>
          <w:sz w:val="17"/>
        </w:rPr>
        <w:t>KONTAKT EINTELLIX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c>
          <w:tcPr>
            <w:tcW w:type="dxa" w:w="5018"/>
            <w:shd w:fill="F6F8FB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7"/>
              </w:rPr>
              <w:t>Jerzy Wyszomirski</w:t>
              <w:br/>
              <w:t>Wiceprezes Zarządu</w:t>
              <w:br/>
              <w:t>+48 530 723 223</w:t>
              <w:br/>
              <w:t>jerzy.wyszomirski@eintellix.com</w:t>
            </w:r>
          </w:p>
        </w:tc>
        <w:tc>
          <w:tcPr>
            <w:tcW w:type="dxa" w:w="5018"/>
            <w:shd w:fill="F6F8FB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4" w:color="D7DEE8"/>
              <w:left w:val="single" w:sz="4" w:color="D7DEE8"/>
              <w:bottom w:val="single" w:sz="4" w:color="D7DEE8"/>
              <w:right w:val="single" w:sz="4" w:color="D7DEE8"/>
            </w:tcBorders>
          </w:tcPr>
          <w:p>
            <w:r>
              <w:rPr>
                <w:color w:val="243043"/>
                <w:sz w:val="17"/>
              </w:rPr>
              <w:t>EINTELLIX Sp. z o.o.</w:t>
              <w:br/>
              <w:t>ul. Parowcowa 43 lok. 4, 02-440 Warszawa</w:t>
              <w:br/>
              <w:t>www.eintellix.com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36" w:bottom="749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7920"/>
      <w:gridCol w:w="2088"/>
    </w:tblGrid>
    <w:tr>
      <w:tc>
        <w:tcPr>
          <w:tcW w:type="dxa" w:w="5004"/>
        </w:tcPr>
        <w:p>
          <w:r>
            <w:rPr>
              <w:color w:val="707A8A"/>
              <w:sz w:val="15"/>
            </w:rPr>
            <w:t>EINTELLIX Sp. z o.o.  |  www.eintellix.com  |  jerzy.wyszomirski@eintellix.com</w:t>
          </w:r>
        </w:p>
      </w:tc>
      <w:tc>
        <w:tcPr>
          <w:tcW w:type="dxa" w:w="5004"/>
        </w:tcPr>
        <w:p>
          <w:pPr>
            <w:jc w:val="right"/>
          </w:pPr>
          <w:r>
            <w:rPr>
              <w:color w:val="707A8A"/>
              <w:sz w:val="16"/>
            </w:rPr>
            <w:t xml:space="preserve">Strona </w:t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24"/>
      <w:gridCol w:w="6984"/>
    </w:tblGrid>
    <w:tr>
      <w:tc>
        <w:tcPr>
          <w:tcW w:type="dxa" w:w="5004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600200" cy="37555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intellix_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37555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04"/>
        </w:tcPr>
        <w:p>
          <w:pPr>
            <w:jc w:val="right"/>
          </w:pPr>
          <w:r>
            <w:rPr>
              <w:b/>
              <w:color w:val="59677D"/>
              <w:sz w:val="16"/>
            </w:rPr>
            <w:t>MIGRACJA DANYCH  |  WARSZTAT DISCOVERY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