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953"/>
            <w:shd w:fill="0A2233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412000" cy="56608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intellix_logo_hea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5660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365"/>
            <w:shd w:fill="0A2233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KARTA PROJEKTU  |  16.09.2026</w:t>
            </w:r>
          </w:p>
        </w:tc>
      </w:tr>
    </w:tbl>
    <w:p>
      <w:pPr>
        <w:spacing w:before="160" w:after="20"/>
      </w:pPr>
      <w:r>
        <w:rPr>
          <w:rFonts w:ascii="Aptos" w:hAnsi="Aptos" w:eastAsia="Aptos"/>
          <w:b/>
          <w:color w:val="0B2F44"/>
          <w:sz w:val="46"/>
        </w:rPr>
        <w:t>MIGRACJA DANYCH</w:t>
      </w:r>
    </w:p>
    <w:p>
      <w:pPr>
        <w:spacing w:after="80"/>
      </w:pPr>
      <w:r>
        <w:rPr>
          <w:rFonts w:ascii="Aptos" w:hAnsi="Aptos" w:eastAsia="Aptos"/>
          <w:b w:val="0"/>
          <w:color w:val="5D7485"/>
          <w:sz w:val="22"/>
        </w:rPr>
        <w:t>Klient / Organizacja - karta projektu do rozmowy analityczno-technicznej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rPr>
          <w:cantSplit/>
        </w:trPr>
        <w:tc>
          <w:tcPr>
            <w:tcW w:type="dxa" w:w="10319"/>
            <w:shd w:fill="EAF6FB"/>
            <w:tcBorders>
              <w:top w:val="single" w:sz="10" w:color="19BFF3"/>
              <w:left w:val="single" w:sz="4" w:color="C9DCE6"/>
              <w:bottom w:val="single" w:sz="4" w:color="C9DCE6"/>
              <w:right w:val="single" w:sz="4" w:color="C9DCE6"/>
            </w:tcBorders>
            <w:tcMar>
              <w:top w:w="95" w:type="dxa"/>
              <w:start w:w="130" w:type="dxa"/>
              <w:bottom w:w="95" w:type="dxa"/>
              <w:end w:w="130" w:type="dxa"/>
            </w:tcMar>
          </w:tcPr>
          <w:p>
            <w:pPr>
              <w:spacing w:line="252" w:lineRule="auto"/>
            </w:pPr>
            <w:r>
              <w:rPr>
                <w:rFonts w:ascii="Aptos" w:hAnsi="Aptos" w:eastAsia="Aptos"/>
                <w:b/>
                <w:color w:val="0B2F44"/>
                <w:sz w:val="18"/>
              </w:rPr>
              <w:t xml:space="preserve">Cel dokumentu. </w:t>
            </w:r>
            <w:r>
              <w:rPr>
                <w:rFonts w:ascii="Aptos" w:hAnsi="Aptos" w:eastAsia="Aptos"/>
                <w:b w:val="0"/>
                <w:color w:val="172B36"/>
                <w:sz w:val="18"/>
              </w:rPr>
              <w:t>Ustalenie ram projektu migracji danych przed szczegółowym audytem. Dokument porządkuje cele, zakres, odpowiedzialności i etapy, ale nie przesądza jeszcze o modelu migracji, harmonogramie ani cenie.</w:t>
            </w:r>
          </w:p>
        </w:tc>
      </w:tr>
    </w:tbl>
    <w:p>
      <w:pPr>
        <w:spacing w:before="100" w:after="60"/>
      </w:pPr>
      <w:r>
        <w:rPr>
          <w:rFonts w:ascii="Aptos" w:hAnsi="Aptos" w:eastAsia="Aptos"/>
          <w:b/>
          <w:color w:val="0B2F44"/>
          <w:sz w:val="22"/>
        </w:rPr>
        <w:t>1. Kontekst i cele projektu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rHeight w:hRule="atLeast" w:val="1191"/>
          <w:cantSplit/>
        </w:trPr>
        <w:tc>
          <w:tcPr>
            <w:tcW w:type="dxa" w:w="5159"/>
            <w:tcBorders>
              <w:top w:val="single" w:sz="4" w:color="C9DCE6"/>
              <w:left w:val="single" w:sz="4" w:color="C9DCE6"/>
              <w:bottom w:val="single" w:sz="4" w:color="C9DCE6"/>
              <w:right w:val="single" w:sz="4" w:color="C9DCE6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>CEL BIZNESOWY</w:t>
            </w:r>
          </w:p>
          <w:p>
            <w:pPr>
              <w:spacing w:line="240" w:lineRule="auto"/>
            </w:pPr>
            <w:r>
              <w:rPr>
                <w:rFonts w:ascii="Aptos" w:hAnsi="Aptos" w:eastAsia="Aptos"/>
                <w:b w:val="0"/>
                <w:color w:val="172B36"/>
                <w:sz w:val="17"/>
              </w:rPr>
              <w:t>Bezpieczne przeniesienie uzgodnionego zakresu danych do środowiska docelowego przy zachowaniu ich kompletności, spójności i użyteczności biznesowej.</w:t>
            </w:r>
          </w:p>
        </w:tc>
        <w:tc>
          <w:tcPr>
            <w:tcW w:type="dxa" w:w="5159"/>
            <w:tcBorders>
              <w:top w:val="single" w:sz="4" w:color="C9DCE6"/>
              <w:left w:val="single" w:sz="4" w:color="C9DCE6"/>
              <w:bottom w:val="single" w:sz="4" w:color="C9DCE6"/>
              <w:right w:val="single" w:sz="4" w:color="C9DCE6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4F8FA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>CEL TECHNICZNY</w:t>
            </w:r>
          </w:p>
          <w:p>
            <w:pPr>
              <w:spacing w:line="240" w:lineRule="auto"/>
            </w:pPr>
            <w:r>
              <w:rPr>
                <w:rFonts w:ascii="Aptos" w:hAnsi="Aptos" w:eastAsia="Aptos"/>
                <w:b w:val="0"/>
                <w:color w:val="172B36"/>
                <w:sz w:val="17"/>
              </w:rPr>
              <w:t>Zaprojektowanie powtarzalnego procesu eksportu, transformacji, importu i walidacji danych z możliwością testów oraz kontrolowanego przełączenia.</w:t>
            </w:r>
          </w:p>
        </w:tc>
      </w:tr>
      <w:tr>
        <w:trPr>
          <w:trHeight w:hRule="atLeast" w:val="1191"/>
          <w:cantSplit/>
        </w:trPr>
        <w:tc>
          <w:tcPr>
            <w:tcW w:type="dxa" w:w="5159"/>
            <w:tcBorders>
              <w:top w:val="single" w:sz="4" w:color="C9DCE6"/>
              <w:left w:val="single" w:sz="4" w:color="C9DCE6"/>
              <w:bottom w:val="single" w:sz="4" w:color="C9DCE6"/>
              <w:right w:val="single" w:sz="4" w:color="C9DCE6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>PRIORYTETY</w:t>
            </w:r>
          </w:p>
          <w:p>
            <w:pPr>
              <w:spacing w:line="240" w:lineRule="auto"/>
            </w:pPr>
            <w:r>
              <w:rPr>
                <w:rFonts w:ascii="Aptos" w:hAnsi="Aptos" w:eastAsia="Aptos"/>
                <w:b w:val="0"/>
                <w:color w:val="172B36"/>
                <w:sz w:val="17"/>
              </w:rPr>
              <w:t>Ciągłość działania, ograniczenie ryzyka utraty lub zniekształcenia danych, możliwość weryfikacji i jednoznaczne kryteria odbioru.</w:t>
            </w:r>
          </w:p>
        </w:tc>
        <w:tc>
          <w:tcPr>
            <w:tcW w:type="dxa" w:w="5159"/>
            <w:tcBorders>
              <w:top w:val="single" w:sz="4" w:color="C9DCE6"/>
              <w:left w:val="single" w:sz="4" w:color="C9DCE6"/>
              <w:bottom w:val="single" w:sz="4" w:color="C9DCE6"/>
              <w:right w:val="single" w:sz="4" w:color="C9DCE6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4F8FA"/>
          </w:tcPr>
          <w:p>
            <w:pPr>
              <w:spacing w:after="40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>WYNIK ETAPU ANALITYCZNEGO</w:t>
            </w:r>
          </w:p>
          <w:p>
            <w:pPr>
              <w:spacing w:line="240" w:lineRule="auto"/>
            </w:pPr>
            <w:r>
              <w:rPr>
                <w:rFonts w:ascii="Aptos" w:hAnsi="Aptos" w:eastAsia="Aptos"/>
                <w:b w:val="0"/>
                <w:color w:val="172B36"/>
                <w:sz w:val="17"/>
              </w:rPr>
              <w:t>Docelowy zakres migracji, rekomendowany model wdrożenia, harmonogram, estymacja prac, ryzyka, kryteria odbioru oraz finalna wycena.</w:t>
            </w:r>
          </w:p>
        </w:tc>
      </w:tr>
    </w:tbl>
    <w:p>
      <w:pPr>
        <w:spacing w:before="100" w:after="60"/>
      </w:pPr>
      <w:r>
        <w:rPr>
          <w:rFonts w:ascii="Aptos" w:hAnsi="Aptos" w:eastAsia="Aptos"/>
          <w:b/>
          <w:color w:val="0B2F44"/>
          <w:sz w:val="22"/>
        </w:rPr>
        <w:t>2. Zakres do potwierdzenia podczas spotkania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</w:trPr>
        <w:tc>
          <w:tcPr>
            <w:tcW w:type="dxa" w:w="3441"/>
            <w:shd w:fill="F4F8FA"/>
            <w:tcBorders>
              <w:top w:val="single" w:sz="4" w:color="C9DCE6"/>
              <w:left w:val="single" w:sz="4" w:color="C9DCE6"/>
              <w:bottom w:val="single" w:sz="4" w:color="C9DCE6"/>
              <w:right w:val="single" w:sz="4" w:color="C9DCE6"/>
            </w:tcBorders>
            <w:tcMar>
              <w:top w:w="70" w:type="dxa"/>
              <w:start w:w="90" w:type="dxa"/>
              <w:bottom w:w="55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0B2F44"/>
                <w:sz w:val="17"/>
              </w:rPr>
              <w:t>DANE I SYSTEMY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systemy i bazy źródłowe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wolumen i historia danych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dokumenty / załączniki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jakość i kompletność danych</w:t>
            </w:r>
          </w:p>
        </w:tc>
        <w:tc>
          <w:tcPr>
            <w:tcW w:type="dxa" w:w="3441"/>
            <w:shd w:fill="EAF6FB"/>
            <w:tcBorders>
              <w:top w:val="single" w:sz="4" w:color="C9DCE6"/>
              <w:left w:val="single" w:sz="4" w:color="C9DCE6"/>
              <w:bottom w:val="single" w:sz="4" w:color="C9DCE6"/>
              <w:right w:val="single" w:sz="4" w:color="C9DCE6"/>
            </w:tcBorders>
            <w:tcMar>
              <w:top w:w="70" w:type="dxa"/>
              <w:start w:w="90" w:type="dxa"/>
              <w:bottom w:w="55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0B2F44"/>
                <w:sz w:val="17"/>
              </w:rPr>
              <w:t>TECHNOLOGIA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sposób eksportu i dostępu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integracje / API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środowisko docelowe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wymagania bezpieczeństwa</w:t>
            </w:r>
          </w:p>
        </w:tc>
        <w:tc>
          <w:tcPr>
            <w:tcW w:type="dxa" w:w="3436"/>
            <w:shd w:fill="F4F8FA"/>
            <w:tcBorders>
              <w:top w:val="single" w:sz="4" w:color="C9DCE6"/>
              <w:left w:val="single" w:sz="4" w:color="C9DCE6"/>
              <w:bottom w:val="single" w:sz="4" w:color="C9DCE6"/>
              <w:right w:val="single" w:sz="4" w:color="C9DCE6"/>
            </w:tcBorders>
            <w:tcMar>
              <w:top w:w="70" w:type="dxa"/>
              <w:start w:w="90" w:type="dxa"/>
              <w:bottom w:w="55" w:type="dxa"/>
              <w:end w:w="90" w:type="dxa"/>
            </w:tcMar>
          </w:tcPr>
          <w:p>
            <w:r>
              <w:rPr>
                <w:rFonts w:ascii="Aptos" w:hAnsi="Aptos" w:eastAsia="Aptos"/>
                <w:b/>
                <w:color w:val="0B2F44"/>
                <w:sz w:val="17"/>
              </w:rPr>
              <w:t>ORGANIZACJA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dopuszczalny downtime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właściciele danych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kryteria odbioru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terminy i ograniczenia biznesowe</w:t>
            </w:r>
          </w:p>
        </w:tc>
      </w:tr>
    </w:tbl>
    <w:p>
      <w:pPr>
        <w:spacing w:before="100" w:after="60"/>
      </w:pPr>
      <w:r>
        <w:rPr>
          <w:rFonts w:ascii="Aptos" w:hAnsi="Aptos" w:eastAsia="Aptos"/>
          <w:b/>
          <w:color w:val="0B2F44"/>
          <w:sz w:val="22"/>
        </w:rPr>
        <w:t>3. Metodyka realizacji EINTELLIX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0"/>
        <w:gridCol w:w="1290"/>
        <w:gridCol w:w="1290"/>
        <w:gridCol w:w="1290"/>
        <w:gridCol w:w="1290"/>
        <w:gridCol w:w="1290"/>
        <w:gridCol w:w="1290"/>
        <w:gridCol w:w="1290"/>
      </w:tblGrid>
      <w:tr>
        <w:trPr>
          <w:cantSplit/>
        </w:trPr>
        <w:tc>
          <w:tcPr>
            <w:tcW w:type="dxa" w:w="1289"/>
            <w:shd w:fill="0B2F44"/>
            <w:tcBorders>
              <w:top w:val="single" w:sz="3" w:color="C9DCE6"/>
              <w:left w:val="single" w:sz="3" w:color="C9DCE6"/>
              <w:bottom w:val="single" w:sz="3" w:color="C9DCE6"/>
              <w:right w:val="single" w:sz="3" w:color="C9DCE6"/>
            </w:tcBorders>
            <w:tcMar>
              <w:top w:w="55" w:type="dxa"/>
              <w:start w:w="30" w:type="dxa"/>
              <w:bottom w:w="55" w:type="dxa"/>
              <w:end w:w="30" w:type="dxa"/>
            </w:tcMar>
          </w:tcPr>
          <w:p>
            <w:pPr>
              <w:spacing w:after="20"/>
              <w:jc w:val="center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01</w:t>
            </w:r>
          </w:p>
          <w:p>
            <w:pPr>
              <w:spacing w:line="228" w:lineRule="auto"/>
              <w:jc w:val="center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Discovery</w:t>
            </w:r>
          </w:p>
        </w:tc>
        <w:tc>
          <w:tcPr>
            <w:tcW w:type="dxa" w:w="1289"/>
            <w:shd w:fill="EAF6FB"/>
            <w:tcBorders>
              <w:top w:val="single" w:sz="3" w:color="C9DCE6"/>
              <w:left w:val="single" w:sz="3" w:color="C9DCE6"/>
              <w:bottom w:val="single" w:sz="3" w:color="C9DCE6"/>
              <w:right w:val="single" w:sz="3" w:color="C9DCE6"/>
            </w:tcBorders>
            <w:tcMar>
              <w:top w:w="55" w:type="dxa"/>
              <w:start w:w="30" w:type="dxa"/>
              <w:bottom w:w="55" w:type="dxa"/>
              <w:end w:w="30" w:type="dxa"/>
            </w:tcMar>
          </w:tcPr>
          <w:p>
            <w:pPr>
              <w:spacing w:after="20"/>
              <w:jc w:val="center"/>
            </w:pPr>
            <w:r>
              <w:rPr>
                <w:rFonts w:ascii="Aptos" w:hAnsi="Aptos" w:eastAsia="Aptos"/>
                <w:b/>
                <w:color w:val="19BFF3"/>
                <w:sz w:val="15"/>
              </w:rPr>
              <w:t>02</w:t>
            </w:r>
          </w:p>
          <w:p>
            <w:pPr>
              <w:spacing w:line="228" w:lineRule="auto"/>
              <w:jc w:val="center"/>
            </w:pPr>
            <w:r>
              <w:rPr>
                <w:rFonts w:ascii="Aptos" w:hAnsi="Aptos" w:eastAsia="Aptos"/>
                <w:b/>
                <w:color w:val="0B2F44"/>
                <w:sz w:val="15"/>
              </w:rPr>
              <w:t>Audyt</w:t>
            </w:r>
          </w:p>
        </w:tc>
        <w:tc>
          <w:tcPr>
            <w:tcW w:type="dxa" w:w="1289"/>
            <w:shd w:fill="F4F8FA"/>
            <w:tcBorders>
              <w:top w:val="single" w:sz="3" w:color="C9DCE6"/>
              <w:left w:val="single" w:sz="3" w:color="C9DCE6"/>
              <w:bottom w:val="single" w:sz="3" w:color="C9DCE6"/>
              <w:right w:val="single" w:sz="3" w:color="C9DCE6"/>
            </w:tcBorders>
            <w:tcMar>
              <w:top w:w="55" w:type="dxa"/>
              <w:start w:w="30" w:type="dxa"/>
              <w:bottom w:w="55" w:type="dxa"/>
              <w:end w:w="30" w:type="dxa"/>
            </w:tcMar>
          </w:tcPr>
          <w:p>
            <w:pPr>
              <w:spacing w:after="20"/>
              <w:jc w:val="center"/>
            </w:pPr>
            <w:r>
              <w:rPr>
                <w:rFonts w:ascii="Aptos" w:hAnsi="Aptos" w:eastAsia="Aptos"/>
                <w:b/>
                <w:color w:val="19BFF3"/>
                <w:sz w:val="15"/>
              </w:rPr>
              <w:t>03</w:t>
            </w:r>
          </w:p>
          <w:p>
            <w:pPr>
              <w:spacing w:line="228" w:lineRule="auto"/>
              <w:jc w:val="center"/>
            </w:pPr>
            <w:r>
              <w:rPr>
                <w:rFonts w:ascii="Aptos" w:hAnsi="Aptos" w:eastAsia="Aptos"/>
                <w:b/>
                <w:color w:val="0B2F44"/>
                <w:sz w:val="15"/>
              </w:rPr>
              <w:t>Mapping</w:t>
            </w:r>
          </w:p>
        </w:tc>
        <w:tc>
          <w:tcPr>
            <w:tcW w:type="dxa" w:w="1289"/>
            <w:shd w:fill="EAF6FB"/>
            <w:tcBorders>
              <w:top w:val="single" w:sz="3" w:color="C9DCE6"/>
              <w:left w:val="single" w:sz="3" w:color="C9DCE6"/>
              <w:bottom w:val="single" w:sz="3" w:color="C9DCE6"/>
              <w:right w:val="single" w:sz="3" w:color="C9DCE6"/>
            </w:tcBorders>
            <w:tcMar>
              <w:top w:w="55" w:type="dxa"/>
              <w:start w:w="30" w:type="dxa"/>
              <w:bottom w:w="55" w:type="dxa"/>
              <w:end w:w="30" w:type="dxa"/>
            </w:tcMar>
          </w:tcPr>
          <w:p>
            <w:pPr>
              <w:spacing w:after="20"/>
              <w:jc w:val="center"/>
            </w:pPr>
            <w:r>
              <w:rPr>
                <w:rFonts w:ascii="Aptos" w:hAnsi="Aptos" w:eastAsia="Aptos"/>
                <w:b/>
                <w:color w:val="19BFF3"/>
                <w:sz w:val="15"/>
              </w:rPr>
              <w:t>04</w:t>
            </w:r>
          </w:p>
          <w:p>
            <w:pPr>
              <w:spacing w:line="228" w:lineRule="auto"/>
              <w:jc w:val="center"/>
            </w:pPr>
            <w:r>
              <w:rPr>
                <w:rFonts w:ascii="Aptos" w:hAnsi="Aptos" w:eastAsia="Aptos"/>
                <w:b/>
                <w:color w:val="0B2F44"/>
                <w:sz w:val="15"/>
              </w:rPr>
              <w:t>Oczyszczanie</w:t>
            </w:r>
          </w:p>
        </w:tc>
        <w:tc>
          <w:tcPr>
            <w:tcW w:type="dxa" w:w="1289"/>
            <w:shd w:fill="F4F8FA"/>
            <w:tcBorders>
              <w:top w:val="single" w:sz="3" w:color="C9DCE6"/>
              <w:left w:val="single" w:sz="3" w:color="C9DCE6"/>
              <w:bottom w:val="single" w:sz="3" w:color="C9DCE6"/>
              <w:right w:val="single" w:sz="3" w:color="C9DCE6"/>
            </w:tcBorders>
            <w:tcMar>
              <w:top w:w="55" w:type="dxa"/>
              <w:start w:w="30" w:type="dxa"/>
              <w:bottom w:w="55" w:type="dxa"/>
              <w:end w:w="30" w:type="dxa"/>
            </w:tcMar>
          </w:tcPr>
          <w:p>
            <w:pPr>
              <w:spacing w:after="20"/>
              <w:jc w:val="center"/>
            </w:pPr>
            <w:r>
              <w:rPr>
                <w:rFonts w:ascii="Aptos" w:hAnsi="Aptos" w:eastAsia="Aptos"/>
                <w:b/>
                <w:color w:val="19BFF3"/>
                <w:sz w:val="15"/>
              </w:rPr>
              <w:t>05</w:t>
            </w:r>
          </w:p>
          <w:p>
            <w:pPr>
              <w:spacing w:line="228" w:lineRule="auto"/>
              <w:jc w:val="center"/>
            </w:pPr>
            <w:r>
              <w:rPr>
                <w:rFonts w:ascii="Aptos" w:hAnsi="Aptos" w:eastAsia="Aptos"/>
                <w:b/>
                <w:color w:val="0B2F44"/>
                <w:sz w:val="15"/>
              </w:rPr>
              <w:t>Migracja próbna</w:t>
            </w:r>
          </w:p>
        </w:tc>
        <w:tc>
          <w:tcPr>
            <w:tcW w:type="dxa" w:w="1289"/>
            <w:shd w:fill="EAF6FB"/>
            <w:tcBorders>
              <w:top w:val="single" w:sz="3" w:color="C9DCE6"/>
              <w:left w:val="single" w:sz="3" w:color="C9DCE6"/>
              <w:bottom w:val="single" w:sz="3" w:color="C9DCE6"/>
              <w:right w:val="single" w:sz="3" w:color="C9DCE6"/>
            </w:tcBorders>
            <w:tcMar>
              <w:top w:w="55" w:type="dxa"/>
              <w:start w:w="30" w:type="dxa"/>
              <w:bottom w:w="55" w:type="dxa"/>
              <w:end w:w="30" w:type="dxa"/>
            </w:tcMar>
          </w:tcPr>
          <w:p>
            <w:pPr>
              <w:spacing w:after="20"/>
              <w:jc w:val="center"/>
            </w:pPr>
            <w:r>
              <w:rPr>
                <w:rFonts w:ascii="Aptos" w:hAnsi="Aptos" w:eastAsia="Aptos"/>
                <w:b/>
                <w:color w:val="19BFF3"/>
                <w:sz w:val="15"/>
              </w:rPr>
              <w:t>06</w:t>
            </w:r>
          </w:p>
          <w:p>
            <w:pPr>
              <w:spacing w:line="228" w:lineRule="auto"/>
              <w:jc w:val="center"/>
            </w:pPr>
            <w:r>
              <w:rPr>
                <w:rFonts w:ascii="Aptos" w:hAnsi="Aptos" w:eastAsia="Aptos"/>
                <w:b/>
                <w:color w:val="0B2F44"/>
                <w:sz w:val="15"/>
              </w:rPr>
              <w:t>Walidacja</w:t>
            </w:r>
          </w:p>
        </w:tc>
        <w:tc>
          <w:tcPr>
            <w:tcW w:type="dxa" w:w="1289"/>
            <w:shd w:fill="0B2F44"/>
            <w:tcBorders>
              <w:top w:val="single" w:sz="3" w:color="C9DCE6"/>
              <w:left w:val="single" w:sz="3" w:color="C9DCE6"/>
              <w:bottom w:val="single" w:sz="3" w:color="C9DCE6"/>
              <w:right w:val="single" w:sz="3" w:color="C9DCE6"/>
            </w:tcBorders>
            <w:tcMar>
              <w:top w:w="55" w:type="dxa"/>
              <w:start w:w="30" w:type="dxa"/>
              <w:bottom w:w="55" w:type="dxa"/>
              <w:end w:w="30" w:type="dxa"/>
            </w:tcMar>
          </w:tcPr>
          <w:p>
            <w:pPr>
              <w:spacing w:after="20"/>
              <w:jc w:val="center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07</w:t>
            </w:r>
          </w:p>
          <w:p>
            <w:pPr>
              <w:spacing w:line="228" w:lineRule="auto"/>
              <w:jc w:val="center"/>
            </w:pPr>
            <w:r>
              <w:rPr>
                <w:rFonts w:ascii="Aptos" w:hAnsi="Aptos" w:eastAsia="Aptos"/>
                <w:b/>
                <w:color w:val="FFFFFF"/>
                <w:sz w:val="15"/>
              </w:rPr>
              <w:t>Cutover</w:t>
            </w:r>
          </w:p>
        </w:tc>
        <w:tc>
          <w:tcPr>
            <w:tcW w:type="dxa" w:w="1289"/>
            <w:shd w:fill="EAF6FB"/>
            <w:tcBorders>
              <w:top w:val="single" w:sz="3" w:color="C9DCE6"/>
              <w:left w:val="single" w:sz="3" w:color="C9DCE6"/>
              <w:bottom w:val="single" w:sz="3" w:color="C9DCE6"/>
              <w:right w:val="single" w:sz="3" w:color="C9DCE6"/>
            </w:tcBorders>
            <w:tcMar>
              <w:top w:w="55" w:type="dxa"/>
              <w:start w:w="30" w:type="dxa"/>
              <w:bottom w:w="55" w:type="dxa"/>
              <w:end w:w="30" w:type="dxa"/>
            </w:tcMar>
          </w:tcPr>
          <w:p>
            <w:pPr>
              <w:spacing w:after="20"/>
              <w:jc w:val="center"/>
            </w:pPr>
            <w:r>
              <w:rPr>
                <w:rFonts w:ascii="Aptos" w:hAnsi="Aptos" w:eastAsia="Aptos"/>
                <w:b/>
                <w:color w:val="19BFF3"/>
                <w:sz w:val="15"/>
              </w:rPr>
              <w:t>08</w:t>
            </w:r>
          </w:p>
          <w:p>
            <w:pPr>
              <w:spacing w:line="228" w:lineRule="auto"/>
              <w:jc w:val="center"/>
            </w:pPr>
            <w:r>
              <w:rPr>
                <w:rFonts w:ascii="Aptos" w:hAnsi="Aptos" w:eastAsia="Aptos"/>
                <w:b/>
                <w:color w:val="0B2F44"/>
                <w:sz w:val="15"/>
              </w:rPr>
              <w:t>Stabilizacja</w:t>
            </w:r>
          </w:p>
        </w:tc>
      </w:tr>
    </w:tbl>
    <w:p>
      <w:pPr>
        <w:spacing w:before="100" w:after="60"/>
      </w:pPr>
      <w:r>
        <w:rPr>
          <w:rFonts w:ascii="Aptos" w:hAnsi="Aptos" w:eastAsia="Aptos"/>
          <w:b/>
          <w:color w:val="0B2F44"/>
          <w:sz w:val="22"/>
        </w:rPr>
        <w:t>4. Role, odpowiedzialność i zasady wyceny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Borders>
              <w:top w:val="single" w:sz="4" w:color="C9DCE6"/>
              <w:left w:val="single" w:sz="4" w:color="C9DCE6"/>
              <w:bottom w:val="single" w:sz="4" w:color="C9DCE6"/>
              <w:right w:val="single" w:sz="4" w:color="C9DCE6"/>
            </w:tcBorders>
            <w:tcMar>
              <w:top w:w="65" w:type="dxa"/>
              <w:start w:w="100" w:type="dxa"/>
              <w:bottom w:w="60" w:type="dxa"/>
              <w:end w:w="100" w:type="dxa"/>
            </w:tcMar>
            <w:shd w:fill="F4F8FA"/>
          </w:tcPr>
          <w:p>
            <w:r>
              <w:rPr>
                <w:rFonts w:ascii="Aptos" w:hAnsi="Aptos" w:eastAsia="Aptos"/>
                <w:b/>
                <w:color w:val="0B2F44"/>
                <w:sz w:val="17"/>
              </w:rPr>
              <w:t>Klient / Organizacja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udostępnienie wiedzy o systemie i danych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wskazanie właścicieli danych i kryteriów biznesowych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potwierdzenie zakresu oraz odbiór wyników</w:t>
            </w:r>
          </w:p>
        </w:tc>
        <w:tc>
          <w:tcPr>
            <w:tcW w:type="dxa" w:w="5159"/>
            <w:tcBorders>
              <w:top w:val="single" w:sz="4" w:color="C9DCE6"/>
              <w:left w:val="single" w:sz="4" w:color="C9DCE6"/>
              <w:bottom w:val="single" w:sz="4" w:color="C9DCE6"/>
              <w:right w:val="single" w:sz="4" w:color="C9DCE6"/>
            </w:tcBorders>
            <w:tcMar>
              <w:top w:w="65" w:type="dxa"/>
              <w:start w:w="100" w:type="dxa"/>
              <w:bottom w:w="60" w:type="dxa"/>
              <w:end w:w="100" w:type="dxa"/>
            </w:tcMar>
            <w:shd w:fill="EAF6FB"/>
          </w:tcPr>
          <w:p>
            <w:r>
              <w:rPr>
                <w:rFonts w:ascii="Aptos" w:hAnsi="Aptos" w:eastAsia="Aptos"/>
                <w:b/>
                <w:color w:val="0B2F44"/>
                <w:sz w:val="17"/>
              </w:rPr>
              <w:t>EINTELLIX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analiza techniczna i projekt procesu migracji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przygotowanie mappingu, testów i mechanizmów walidacji</w:t>
            </w:r>
          </w:p>
          <w:p>
            <w:pPr>
              <w:spacing w:after="20" w:line="240" w:lineRule="auto"/>
              <w:ind w:left="170" w:hanging="113"/>
            </w:pPr>
            <w:r>
              <w:rPr>
                <w:rFonts w:ascii="Aptos" w:hAnsi="Aptos" w:eastAsia="Aptos"/>
                <w:b/>
                <w:color w:val="19BFF3"/>
                <w:sz w:val="16"/>
              </w:rPr>
              <w:t xml:space="preserve">• </w:t>
            </w:r>
            <w:r>
              <w:rPr>
                <w:rFonts w:ascii="Aptos" w:hAnsi="Aptos" w:eastAsia="Aptos"/>
                <w:b w:val="0"/>
                <w:color w:val="172B36"/>
                <w:sz w:val="16"/>
              </w:rPr>
              <w:t>wycena po potwierdzeniu rzeczywistej złożoności</w:t>
            </w:r>
          </w:p>
        </w:tc>
      </w:tr>
    </w:tbl>
    <w:p>
      <w:pPr>
        <w:spacing w:before="100" w:after="40"/>
      </w:pPr>
      <w:r>
        <w:rPr>
          <w:rFonts w:ascii="Aptos" w:hAnsi="Aptos" w:eastAsia="Aptos"/>
          <w:b/>
          <w:color w:val="19BFF3"/>
          <w:sz w:val="16"/>
        </w:rPr>
        <w:t>NAJBLIŻSZY KROK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8"/>
      </w:tblGrid>
      <w:tr>
        <w:trPr>
          <w:cantSplit/>
        </w:trPr>
        <w:tc>
          <w:tcPr>
            <w:tcW w:type="dxa" w:w="10319"/>
            <w:shd w:fill="0A2233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start w:w="120" w:type="dxa"/>
              <w:bottom w:w="75" w:type="dxa"/>
              <w:end w:w="120" w:type="dxa"/>
            </w:tcMar>
          </w:tcPr>
          <w:p>
            <w:pPr>
              <w:spacing w:line="240" w:lineRule="auto"/>
              <w:jc w:val="center"/>
            </w:pPr>
            <w:r>
              <w:rPr>
                <w:rFonts w:ascii="Aptos" w:hAnsi="Aptos" w:eastAsia="Aptos"/>
                <w:b/>
                <w:color w:val="FFFFFF"/>
                <w:sz w:val="17"/>
              </w:rPr>
              <w:t>Wypełnienie kwestionariusza przedmigracyjnego  →  warsztat techniczno-biznesowy  →  zakres i rekomendowany model migracji  →  oferta i harmonogram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567" w:right="794" w:bottom="510" w:left="79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5D7485"/>
        <w:sz w:val="14"/>
      </w:rPr>
      <w:t>EINTELLIX Sp. z o.o.  |  ul. Parowcowa 43 lok. 4, 02-440 Warszawa  |  www.eintellix.com  |  jerzy.wyszomirski@eintellix.com  |  +48 530 723 223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hAnsi="Aptos"/>
      <w:color w:val="172B3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Projektu Migracji Danych - Klient / Organizacja</dc:title>
  <dc:subject>One Pager projektu migracji danych</dc:subject>
  <dc:creator>EINTELLIX Sp. z o.o.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