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8064"/>
      </w:tblGrid>
      <w:tr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25880" cy="31117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311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6C5F0"/>
                <w:sz w:val="16"/>
              </w:rPr>
              <w:t>KLIENT / ORGANIZACJA</w:t>
            </w:r>
          </w:p>
          <w:p>
            <w:pPr>
              <w:spacing w:after="40"/>
            </w:pPr>
            <w:r>
              <w:rPr>
                <w:rFonts w:ascii="Aptos Display" w:hAnsi="Aptos Display"/>
                <w:b/>
                <w:i w:val="0"/>
                <w:color w:val="FFFFFF"/>
                <w:sz w:val="40"/>
              </w:rPr>
              <w:t>Metodyka migracji danych EINTELLIX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D0D5DD"/>
                <w:sz w:val="17"/>
              </w:rPr>
              <w:t>Ramy realizacji projektu • kontrola jakości • bezpieczeństwo • decyzje etapowe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EF4FF"/>
            <w:tcMar>
              <w:top w:w="105" w:type="dxa"/>
              <w:start w:w="130" w:type="dxa"/>
              <w:bottom w:w="105" w:type="dxa"/>
              <w:end w:w="130" w:type="dxa"/>
            </w:tcMar>
            <w:tcBorders>
              <w:left w:val="single" w:sz="18" w:color="2563EB"/>
            </w:tcBorders>
          </w:tcPr>
          <w:p>
            <w:r>
              <w:rPr>
                <w:rFonts w:ascii="Aptos" w:hAnsi="Aptos"/>
                <w:b/>
                <w:i w:val="0"/>
                <w:color w:val="0B1220"/>
                <w:sz w:val="18"/>
              </w:rPr>
              <w:t>Cel metodyki</w:t>
            </w:r>
          </w:p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44054"/>
                <w:sz w:val="17"/>
              </w:rPr>
              <w:t>Metodyka EINTELLIX porządkuje migrację jako kontrolowany proces projektowy, w którym decyzje techniczne są podejmowane na podstawie danych, a każdy etap kończy się mierzalnym rezultatem i bramką decyzyjną. Jej celem jest ograniczenie ryzyka utraty, zniekształcenia lub niespójności danych oraz zapewnienie bezpiecznego przejścia do środowiska docelowego.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i w:val="0"/>
          <w:color w:val="2563EB"/>
          <w:sz w:val="19"/>
        </w:rPr>
        <w:t xml:space="preserve">01  </w:t>
      </w:r>
      <w:r>
        <w:rPr>
          <w:rFonts w:ascii="Aptos Display" w:hAnsi="Aptos Display"/>
          <w:b/>
          <w:i w:val="0"/>
          <w:color w:val="0B1220"/>
          <w:sz w:val="27"/>
        </w:rPr>
        <w:t>Proces end-to-end</w:t>
      </w:r>
    </w:p>
    <w:p>
      <w:pPr>
        <w:spacing w:after="100" w:line="259" w:lineRule="auto"/>
      </w:pPr>
      <w:r>
        <w:rPr>
          <w:rFonts w:ascii="Aptos" w:hAnsi="Aptos"/>
          <w:b w:val="0"/>
          <w:i w:val="0"/>
          <w:color w:val="475467"/>
          <w:sz w:val="17"/>
        </w:rPr>
        <w:t>Osiem etapów łączy analizę biznesowo-techniczną, przygotowanie danych, migracje próbne i kontrolowane uruchomienie produkcyjne.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0B1220"/>
            <w:tcMar>
              <w:top w:w="85" w:type="dxa"/>
              <w:start w:w="70" w:type="dxa"/>
              <w:bottom w:w="8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36C5F0"/>
                <w:sz w:val="24"/>
              </w:rPr>
              <w:t>1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Discovery</w:t>
            </w:r>
          </w:p>
        </w:tc>
        <w:tc>
          <w:tcPr>
            <w:tcW w:type="dxa" w:w="2664"/>
            <w:shd w:fill="EEF4FF"/>
            <w:tcMar>
              <w:top w:w="85" w:type="dxa"/>
              <w:start w:w="70" w:type="dxa"/>
              <w:bottom w:w="8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2563EB"/>
                <w:sz w:val="24"/>
              </w:rPr>
              <w:t>2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0B1220"/>
                <w:sz w:val="15"/>
              </w:rPr>
              <w:t>Audit</w:t>
            </w:r>
          </w:p>
        </w:tc>
        <w:tc>
          <w:tcPr>
            <w:tcW w:type="dxa" w:w="2664"/>
            <w:shd w:fill="EEF4FF"/>
            <w:tcMar>
              <w:top w:w="85" w:type="dxa"/>
              <w:start w:w="70" w:type="dxa"/>
              <w:bottom w:w="8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2563EB"/>
                <w:sz w:val="24"/>
              </w:rPr>
              <w:t>3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0B1220"/>
                <w:sz w:val="15"/>
              </w:rPr>
              <w:t>Mapping</w:t>
            </w:r>
          </w:p>
        </w:tc>
        <w:tc>
          <w:tcPr>
            <w:tcW w:type="dxa" w:w="2664"/>
            <w:shd w:fill="0B1220"/>
            <w:tcMar>
              <w:top w:w="85" w:type="dxa"/>
              <w:start w:w="70" w:type="dxa"/>
              <w:bottom w:w="8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36C5F0"/>
                <w:sz w:val="24"/>
              </w:rPr>
              <w:t>4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Cleansing</w:t>
            </w:r>
          </w:p>
        </w:tc>
      </w:tr>
      <w:tr>
        <w:tc>
          <w:tcPr>
            <w:tcW w:type="dxa" w:w="2664"/>
            <w:shd w:fill="0B1220"/>
            <w:tcMar>
              <w:top w:w="85" w:type="dxa"/>
              <w:start w:w="70" w:type="dxa"/>
              <w:bottom w:w="8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36C5F0"/>
                <w:sz w:val="24"/>
              </w:rPr>
              <w:t>5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Trial Migration</w:t>
            </w:r>
          </w:p>
        </w:tc>
        <w:tc>
          <w:tcPr>
            <w:tcW w:type="dxa" w:w="2664"/>
            <w:shd w:fill="EEF4FF"/>
            <w:tcMar>
              <w:top w:w="85" w:type="dxa"/>
              <w:start w:w="70" w:type="dxa"/>
              <w:bottom w:w="8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2563EB"/>
                <w:sz w:val="24"/>
              </w:rPr>
              <w:t>6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0B1220"/>
                <w:sz w:val="15"/>
              </w:rPr>
              <w:t>Validation</w:t>
            </w:r>
          </w:p>
        </w:tc>
        <w:tc>
          <w:tcPr>
            <w:tcW w:type="dxa" w:w="2664"/>
            <w:shd w:fill="EEF4FF"/>
            <w:tcMar>
              <w:top w:w="85" w:type="dxa"/>
              <w:start w:w="70" w:type="dxa"/>
              <w:bottom w:w="8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2563EB"/>
                <w:sz w:val="24"/>
              </w:rPr>
              <w:t>7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0B1220"/>
                <w:sz w:val="15"/>
              </w:rPr>
              <w:t>Cutover</w:t>
            </w:r>
          </w:p>
        </w:tc>
        <w:tc>
          <w:tcPr>
            <w:tcW w:type="dxa" w:w="2664"/>
            <w:shd w:fill="0B1220"/>
            <w:tcMar>
              <w:top w:w="85" w:type="dxa"/>
              <w:start w:w="70" w:type="dxa"/>
              <w:bottom w:w="8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36C5F0"/>
                <w:sz w:val="24"/>
              </w:rPr>
              <w:t>8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Stabilization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i w:val="0"/>
          <w:color w:val="2563EB"/>
          <w:sz w:val="19"/>
        </w:rPr>
        <w:t xml:space="preserve">02  </w:t>
      </w:r>
      <w:r>
        <w:rPr>
          <w:rFonts w:ascii="Aptos Display" w:hAnsi="Aptos Display"/>
          <w:b/>
          <w:i w:val="0"/>
          <w:color w:val="0B1220"/>
          <w:sz w:val="27"/>
        </w:rPr>
        <w:t>Zasady prowadzenia migracji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Traceability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475467"/>
                <w:sz w:val="14"/>
              </w:rPr>
              <w:t>Każdy zakres danych, reguła transformacji i wynik walidacji powinny być możliwe do prześledzenia od źródła do systemu docelowego.</w:t>
            </w:r>
          </w:p>
        </w:tc>
        <w:tc>
          <w:tcPr>
            <w:tcW w:type="dxa" w:w="3552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Test before cutover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475467"/>
                <w:sz w:val="14"/>
              </w:rPr>
              <w:t>Migracja produkcyjna następuje dopiero po przejściu uzgodnionych testów i zatwierdzeniu wyników migracji próbnej.</w:t>
            </w:r>
          </w:p>
        </w:tc>
        <w:tc>
          <w:tcPr>
            <w:tcW w:type="dxa" w:w="3552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Source truth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475467"/>
                <w:sz w:val="14"/>
              </w:rPr>
              <w:t>Nie korygujemy niejawnie danych źródłowych. Zmiany jakościowe są identyfikowane, uzgadniane i dokumentowane.</w:t>
            </w:r>
          </w:p>
        </w:tc>
      </w:tr>
      <w:tr>
        <w:tc>
          <w:tcPr>
            <w:tcW w:type="dxa" w:w="3552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Security by design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475467"/>
                <w:sz w:val="14"/>
              </w:rPr>
              <w:t>Dostęp, transfer, kopie robocze, logowanie i usunięcie danych tymczasowych są elementem projektu, a nie czynnością końcową.</w:t>
            </w:r>
          </w:p>
        </w:tc>
        <w:tc>
          <w:tcPr>
            <w:tcW w:type="dxa" w:w="3552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Measurable acceptance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475467"/>
                <w:sz w:val="14"/>
              </w:rPr>
              <w:t>Odbiór opiera się na uzgodnionych kryteriach: kompletności, integralności, poprawności relacji oraz zgodności biznesowej.</w:t>
            </w:r>
          </w:p>
        </w:tc>
        <w:tc>
          <w:tcPr>
            <w:tcW w:type="dxa" w:w="3552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Rollback readiness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475467"/>
                <w:sz w:val="14"/>
              </w:rPr>
              <w:t>Przed przełączeniem produkcyjnym określony jest punkt decyzji, plan cofnięcia oraz warunki jego uruchomienia.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8064"/>
      </w:tblGrid>
      <w:tr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25880" cy="31117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311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6C5F0"/>
                <w:sz w:val="16"/>
              </w:rPr>
              <w:t>EINTELLIX • METODYKA</w:t>
            </w:r>
          </w:p>
          <w:p>
            <w:pPr>
              <w:spacing w:after="40"/>
            </w:pPr>
            <w:r>
              <w:rPr>
                <w:rFonts w:ascii="Aptos Display" w:hAnsi="Aptos Display"/>
                <w:b/>
                <w:i w:val="0"/>
                <w:color w:val="FFFFFF"/>
                <w:sz w:val="40"/>
              </w:rPr>
              <w:t>Etapy 1-4: przygotowanie migracji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D0D5DD"/>
                <w:sz w:val="17"/>
              </w:rPr>
              <w:t>Rozpoznanie środowiska • jakość danych • mapping • oczyszczanie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  <w:tcMar>
              <w:top w:w="110" w:type="dxa"/>
              <w:start w:w="135" w:type="dxa"/>
              <w:bottom w:w="105" w:type="dxa"/>
              <w:end w:w="135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5"/>
              </w:rPr>
              <w:t xml:space="preserve">ETAP 1  </w:t>
            </w:r>
            <w:r>
              <w:rPr>
                <w:rFonts w:ascii="Aptos Display" w:hAnsi="Aptos Display"/>
                <w:b/>
                <w:i w:val="0"/>
                <w:color w:val="0B1220"/>
                <w:sz w:val="25"/>
              </w:rPr>
              <w:t>Discovery</w:t>
            </w:r>
          </w:p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344054"/>
                <w:sz w:val="16"/>
              </w:rPr>
              <w:t xml:space="preserve">Cel: </w:t>
            </w:r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Zdefiniowanie rzeczywistego zakresu projektu, interesariuszy, systemów i wymagań operacyjnych.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Kluczowe działania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analiza ankiety; warsztat IT i biznes; identyfikacja źródeł danych i integracji; ustalenie krytycznych procesów; określenie downtime i wymagań bezpieczeństwa.</w:t>
                  </w:r>
                </w:p>
              </w:tc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Rezultaty / artefakty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karta zakresu; lista źródeł danych; lista integracji; lista decyzji i braków informacyjnych.</w:t>
                  </w:r>
                </w:p>
              </w:tc>
              <w:tc>
                <w:tcPr>
                  <w:tcW w:type="dxa" w:w="3552"/>
                  <w:shd w:fill="ECFDF3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12B76A"/>
                      <w:sz w:val="14"/>
                    </w:rPr>
                    <w:t>Bramka decyzyjna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Potwierdzenie, że zakres analizy jest kompletny i można rozpocząć audyt techniczny.</w:t>
                  </w:r>
                </w:p>
              </w:tc>
            </w:tr>
          </w:tbl>
          <w:p/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  <w:tcMar>
              <w:top w:w="110" w:type="dxa"/>
              <w:start w:w="135" w:type="dxa"/>
              <w:bottom w:w="105" w:type="dxa"/>
              <w:end w:w="135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5"/>
              </w:rPr>
              <w:t xml:space="preserve">ETAP 2  </w:t>
            </w:r>
            <w:r>
              <w:rPr>
                <w:rFonts w:ascii="Aptos Display" w:hAnsi="Aptos Display"/>
                <w:b/>
                <w:i w:val="0"/>
                <w:color w:val="0B1220"/>
                <w:sz w:val="25"/>
              </w:rPr>
              <w:t>Data Audit</w:t>
            </w:r>
          </w:p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344054"/>
                <w:sz w:val="16"/>
              </w:rPr>
              <w:t xml:space="preserve">Cel: </w:t>
            </w:r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Ocena struktury, wolumenu, dostępności i jakości danych przed projektowaniem migracji.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Kluczowe działania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profilowanie danych; analiza duplikatów, braków i anomalii; ocena dokumentów i załączników; przegląd identyfikatorów i relacji; ocena możliwości eksportu.</w:t>
                  </w:r>
                </w:p>
              </w:tc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Rezultaty / artefakty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raport jakości danych; katalog zbiorów; lista problemów; klasyfikacja ryzyk.</w:t>
                  </w:r>
                </w:p>
              </w:tc>
              <w:tc>
                <w:tcPr>
                  <w:tcW w:type="dxa" w:w="3552"/>
                  <w:shd w:fill="ECFDF3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12B76A"/>
                      <w:sz w:val="14"/>
                    </w:rPr>
                    <w:t>Bramka decyzyjna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Decyzja, które dane są migrowane, archiwizowane, oczyszczane lub wyłączane z zakresu.</w:t>
                  </w:r>
                </w:p>
              </w:tc>
            </w:tr>
          </w:tbl>
          <w:p/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  <w:tcMar>
              <w:top w:w="110" w:type="dxa"/>
              <w:start w:w="135" w:type="dxa"/>
              <w:bottom w:w="105" w:type="dxa"/>
              <w:end w:w="135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5"/>
              </w:rPr>
              <w:t xml:space="preserve">ETAP 3  </w:t>
            </w:r>
            <w:r>
              <w:rPr>
                <w:rFonts w:ascii="Aptos Display" w:hAnsi="Aptos Display"/>
                <w:b/>
                <w:i w:val="0"/>
                <w:color w:val="0B1220"/>
                <w:sz w:val="25"/>
              </w:rPr>
              <w:t>Data Mapping</w:t>
            </w:r>
          </w:p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344054"/>
                <w:sz w:val="16"/>
              </w:rPr>
              <w:t xml:space="preserve">Cel: </w:t>
            </w:r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Zaprojektowanie jednoznacznego odwzorowania danych źródłowych na model docelowy.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Kluczowe działania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mapowanie tabel i pól; reguły transformacji; mapowanie słowników i statusów; identyfikacja pól obowiązkowych; reguły dla rekordów wyjątkowych.</w:t>
                  </w:r>
                </w:p>
              </w:tc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Rezultaty / artefakty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Data Mapping Specification; reguły transformacji; lista wyjątków i właścicieli decyzji.</w:t>
                  </w:r>
                </w:p>
              </w:tc>
              <w:tc>
                <w:tcPr>
                  <w:tcW w:type="dxa" w:w="3552"/>
                  <w:shd w:fill="ECFDF3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12B76A"/>
                      <w:sz w:val="14"/>
                    </w:rPr>
                    <w:t>Bramka decyzyjna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Akceptacja mappingu przez IT i właścicieli biznesowych przed budową / uruchomieniem mechanizmu migracji.</w:t>
                  </w:r>
                </w:p>
              </w:tc>
            </w:tr>
          </w:tbl>
          <w:p/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  <w:tcMar>
              <w:top w:w="110" w:type="dxa"/>
              <w:start w:w="135" w:type="dxa"/>
              <w:bottom w:w="105" w:type="dxa"/>
              <w:end w:w="135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5"/>
              </w:rPr>
              <w:t xml:space="preserve">ETAP 4  </w:t>
            </w:r>
            <w:r>
              <w:rPr>
                <w:rFonts w:ascii="Aptos Display" w:hAnsi="Aptos Display"/>
                <w:b/>
                <w:i w:val="0"/>
                <w:color w:val="0B1220"/>
                <w:sz w:val="25"/>
              </w:rPr>
              <w:t>Data Cleansing</w:t>
            </w:r>
          </w:p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344054"/>
                <w:sz w:val="16"/>
              </w:rPr>
              <w:t xml:space="preserve">Cel: </w:t>
            </w:r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Przygotowanie danych do migracji w sposób kontrolowany i audytowalny.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Kluczowe działania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deduplikacja; normalizacja formatów; obsługa braków; korekty zgodnie z zatwierdzonymi regułami; oznaczanie rekordów odrzuconych lub archiwalnych.</w:t>
                  </w:r>
                </w:p>
              </w:tc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Rezultaty / artefakty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oczyszczony zbiór / reguły czyszczenia; raport zmian jakościowych; lista rekordów problemowych.</w:t>
                  </w:r>
                </w:p>
              </w:tc>
              <w:tc>
                <w:tcPr>
                  <w:tcW w:type="dxa" w:w="3552"/>
                  <w:shd w:fill="ECFDF3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12B76A"/>
                      <w:sz w:val="14"/>
                    </w:rPr>
                    <w:t>Bramka decyzyjna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Potwierdzenie jakości danych wejściowych i gotowości do migracji próbnej.</w:t>
                  </w:r>
                </w:p>
              </w:tc>
            </w:tr>
          </w:tbl>
          <w:p/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8064"/>
      </w:tblGrid>
      <w:tr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25880" cy="31117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311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6C5F0"/>
                <w:sz w:val="16"/>
              </w:rPr>
              <w:t>EINTELLIX • METODYKA</w:t>
            </w:r>
          </w:p>
          <w:p>
            <w:pPr>
              <w:spacing w:after="40"/>
            </w:pPr>
            <w:r>
              <w:rPr>
                <w:rFonts w:ascii="Aptos Display" w:hAnsi="Aptos Display"/>
                <w:b/>
                <w:i w:val="0"/>
                <w:color w:val="FFFFFF"/>
                <w:sz w:val="40"/>
              </w:rPr>
              <w:t>Etapy 5-8: migracja i uruchomienie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D0D5DD"/>
                <w:sz w:val="17"/>
              </w:rPr>
              <w:t>Próba • walidacja • cutover • stabilizacja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  <w:tcMar>
              <w:top w:w="110" w:type="dxa"/>
              <w:start w:w="135" w:type="dxa"/>
              <w:bottom w:w="105" w:type="dxa"/>
              <w:end w:w="135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5"/>
              </w:rPr>
              <w:t xml:space="preserve">ETAP 5  </w:t>
            </w:r>
            <w:r>
              <w:rPr>
                <w:rFonts w:ascii="Aptos Display" w:hAnsi="Aptos Display"/>
                <w:b/>
                <w:i w:val="0"/>
                <w:color w:val="0B1220"/>
                <w:sz w:val="25"/>
              </w:rPr>
              <w:t>Trial Migration</w:t>
            </w:r>
          </w:p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344054"/>
                <w:sz w:val="16"/>
              </w:rPr>
              <w:t xml:space="preserve">Cel: </w:t>
            </w:r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Zweryfikowanie mechanizmu migracji na reprezentatywnym zakresie danych przed produkcją.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Kluczowe działania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eksport testowy; transformacja; import do środowiska testowego; rejestrowanie błędów; pomiar czasu i wydajności; korekta skryptów i reguł.</w:t>
                  </w:r>
                </w:p>
              </w:tc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Rezultaty / artefakty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raport migracji próbnej; log błędów; czasy wykonania; lista poprawek.</w:t>
                  </w:r>
                </w:p>
              </w:tc>
              <w:tc>
                <w:tcPr>
                  <w:tcW w:type="dxa" w:w="3552"/>
                  <w:shd w:fill="ECFDF3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12B76A"/>
                      <w:sz w:val="14"/>
                    </w:rPr>
                    <w:t>Bramka decyzyjna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Migracja próbna spełnia minimalne kryteria jakości i może przejść do walidacji biznesowej.</w:t>
                  </w:r>
                </w:p>
              </w:tc>
            </w:tr>
          </w:tbl>
          <w:p/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  <w:tcMar>
              <w:top w:w="110" w:type="dxa"/>
              <w:start w:w="135" w:type="dxa"/>
              <w:bottom w:w="105" w:type="dxa"/>
              <w:end w:w="135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5"/>
              </w:rPr>
              <w:t xml:space="preserve">ETAP 6  </w:t>
            </w:r>
            <w:r>
              <w:rPr>
                <w:rFonts w:ascii="Aptos Display" w:hAnsi="Aptos Display"/>
                <w:b/>
                <w:i w:val="0"/>
                <w:color w:val="0B1220"/>
                <w:sz w:val="25"/>
              </w:rPr>
              <w:t>Validation</w:t>
            </w:r>
          </w:p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344054"/>
                <w:sz w:val="16"/>
              </w:rPr>
              <w:t xml:space="preserve">Cel: </w:t>
            </w:r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Potwierdzenie kompletności, integralności i poprawności biznesowej danych po migracji.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Kluczowe działania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porównanie liczby rekordów; testy relacji i kluczy; sumy kontrolne; testy dokumentów; scenariusze biznesowe; próbkowanie ręczne.</w:t>
                  </w:r>
                </w:p>
              </w:tc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Rezultaty / artefakty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raport walidacyjny; lista odchyleń; decyzje o akceptacji lub poprawkach.</w:t>
                  </w:r>
                </w:p>
              </w:tc>
              <w:tc>
                <w:tcPr>
                  <w:tcW w:type="dxa" w:w="3552"/>
                  <w:shd w:fill="ECFDF3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12B76A"/>
                      <w:sz w:val="14"/>
                    </w:rPr>
                    <w:t>Bramka decyzyjna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Formalne GO / NO-GO do przygotowania finalnego przełączenia.</w:t>
                  </w:r>
                </w:p>
              </w:tc>
            </w:tr>
          </w:tbl>
          <w:p/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  <w:tcMar>
              <w:top w:w="110" w:type="dxa"/>
              <w:start w:w="135" w:type="dxa"/>
              <w:bottom w:w="105" w:type="dxa"/>
              <w:end w:w="135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5"/>
              </w:rPr>
              <w:t xml:space="preserve">ETAP 7  </w:t>
            </w:r>
            <w:r>
              <w:rPr>
                <w:rFonts w:ascii="Aptos Display" w:hAnsi="Aptos Display"/>
                <w:b/>
                <w:i w:val="0"/>
                <w:color w:val="0B1220"/>
                <w:sz w:val="25"/>
              </w:rPr>
              <w:t>Cutover</w:t>
            </w:r>
          </w:p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344054"/>
                <w:sz w:val="16"/>
              </w:rPr>
              <w:t xml:space="preserve">Cel: </w:t>
            </w:r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Przeprowadzenie kontrolowanego przełączenia ze środowiska źródłowego na docelowe.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Kluczowe działania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backup; zamrożenie zmian lub delta sync; finalny eksport i import; walidacja krytyczna; uruchomienie integracji; komunikacja; gotowość rollbacku.</w:t>
                  </w:r>
                </w:p>
              </w:tc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Rezultaty / artefakty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checklista cutover; log operacji; potwierdzenie finalnego transferu; decyzja GO-LIVE.</w:t>
                  </w:r>
                </w:p>
              </w:tc>
              <w:tc>
                <w:tcPr>
                  <w:tcW w:type="dxa" w:w="3552"/>
                  <w:shd w:fill="ECFDF3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12B76A"/>
                      <w:sz w:val="14"/>
                    </w:rPr>
                    <w:t>Bramka decyzyjna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Potwierdzenie działania krytycznych procesów w środowisku produkcyjnym.</w:t>
                  </w:r>
                </w:p>
              </w:tc>
            </w:tr>
          </w:tbl>
          <w:p/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  <w:tcMar>
              <w:top w:w="110" w:type="dxa"/>
              <w:start w:w="135" w:type="dxa"/>
              <w:bottom w:w="105" w:type="dxa"/>
              <w:end w:w="135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5"/>
              </w:rPr>
              <w:t xml:space="preserve">ETAP 8  </w:t>
            </w:r>
            <w:r>
              <w:rPr>
                <w:rFonts w:ascii="Aptos Display" w:hAnsi="Aptos Display"/>
                <w:b/>
                <w:i w:val="0"/>
                <w:color w:val="0B1220"/>
                <w:sz w:val="25"/>
              </w:rPr>
              <w:t>Stabilization</w:t>
            </w:r>
          </w:p>
          <w:p>
            <w:pPr>
              <w:spacing w:after="80"/>
            </w:pPr>
            <w:r>
              <w:rPr>
                <w:rFonts w:ascii="Aptos" w:hAnsi="Aptos"/>
                <w:b/>
                <w:i w:val="0"/>
                <w:color w:val="344054"/>
                <w:sz w:val="16"/>
              </w:rPr>
              <w:t xml:space="preserve">Cel: </w:t>
            </w:r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Ustabilizowanie systemu po uruchomieniu i domknięcie projektu migracyjnego.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Kluczowe działania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monitorowanie błędów; obsługa wyjątków; uzgadnianie danych; poprawki; wsparcie użytkowników; kontrolowane wyłączenie starego systemu i danych roboczych.</w:t>
                  </w:r>
                </w:p>
              </w:tc>
              <w:tc>
                <w:tcPr>
                  <w:tcW w:type="dxa" w:w="3552"/>
                  <w:shd w:fill="EEF4FF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2563EB"/>
                      <w:sz w:val="14"/>
                    </w:rPr>
                    <w:t>Rezultaty / artefakty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raport stabilizacji; lista zamkniętych odchyleń; protokół odbioru; rekomendacje dalsze.</w:t>
                  </w:r>
                </w:p>
              </w:tc>
              <w:tc>
                <w:tcPr>
                  <w:tcW w:type="dxa" w:w="3552"/>
                  <w:shd w:fill="ECFDF3"/>
                  <w:tcMar>
                    <w:top w:w="75" w:type="dxa"/>
                    <w:start w:w="85" w:type="dxa"/>
                    <w:bottom w:w="75" w:type="dxa"/>
                    <w:end w:w="85" w:type="dxa"/>
                  </w:tcMar>
                </w:tcPr>
                <w:p>
                  <w:r>
                    <w:rPr>
                      <w:rFonts w:ascii="Aptos" w:hAnsi="Aptos"/>
                      <w:b/>
                      <w:i w:val="0"/>
                      <w:color w:val="12B76A"/>
                      <w:sz w:val="14"/>
                    </w:rPr>
                    <w:t>Bramka decyzyjna</w:t>
                  </w:r>
                </w:p>
                <w:p>
                  <w:pPr>
                    <w:spacing w:after="0" w:line="250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344054"/>
                      <w:sz w:val="15"/>
                    </w:rPr>
                    <w:t>Akceptacja końcowa i przekazanie do utrzymania / eksploatacji.</w:t>
                  </w:r>
                </w:p>
              </w:tc>
            </w:tr>
          </w:tbl>
          <w:p/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8064"/>
      </w:tblGrid>
      <w:tr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25880" cy="31117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311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6C5F0"/>
                <w:sz w:val="16"/>
              </w:rPr>
              <w:t>EINTELLIX • KONTROLA</w:t>
            </w:r>
          </w:p>
          <w:p>
            <w:pPr>
              <w:spacing w:after="40"/>
            </w:pPr>
            <w:r>
              <w:rPr>
                <w:rFonts w:ascii="Aptos Display" w:hAnsi="Aptos Display"/>
                <w:b/>
                <w:i w:val="0"/>
                <w:color w:val="FFFFFF"/>
                <w:sz w:val="40"/>
              </w:rPr>
              <w:t>Bramki decyzyjne i kryteria jakości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D0D5DD"/>
                <w:sz w:val="17"/>
              </w:rPr>
              <w:t>Decyzje podejmowane na podstawie mierzalnych rezultatów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i w:val="0"/>
          <w:color w:val="2563EB"/>
          <w:sz w:val="19"/>
        </w:rPr>
        <w:t xml:space="preserve">03  </w:t>
      </w:r>
      <w:r>
        <w:rPr>
          <w:rFonts w:ascii="Aptos Display" w:hAnsi="Aptos Display"/>
          <w:b/>
          <w:i w:val="0"/>
          <w:color w:val="0B1220"/>
          <w:sz w:val="27"/>
        </w:rPr>
        <w:t>Bramki decyzyjne projektu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8136"/>
      </w:tblGrid>
      <w:tr>
        <w:tc>
          <w:tcPr>
            <w:tcW w:type="dxa" w:w="5328"/>
            <w:shd w:fill="0B1220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5"/>
              </w:rPr>
              <w:t>G1 • Scope Ready</w:t>
            </w:r>
          </w:p>
        </w:tc>
        <w:tc>
          <w:tcPr>
            <w:tcW w:type="dxa" w:w="5328"/>
            <w:shd w:fill="F8FAFC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zakres systemów, danych i odpowiedzialności został uzgodniony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8136"/>
      </w:tblGrid>
      <w:tr>
        <w:tc>
          <w:tcPr>
            <w:tcW w:type="dxa" w:w="5328"/>
            <w:shd w:fill="0B1220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5"/>
              </w:rPr>
              <w:t>G2 • Data Ready</w:t>
            </w:r>
          </w:p>
        </w:tc>
        <w:tc>
          <w:tcPr>
            <w:tcW w:type="dxa" w:w="5328"/>
            <w:shd w:fill="F8FAFC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jakość i dostępność danych są rozpoznane, a krytyczne braki mają plan obsługi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8136"/>
      </w:tblGrid>
      <w:tr>
        <w:tc>
          <w:tcPr>
            <w:tcW w:type="dxa" w:w="5328"/>
            <w:shd w:fill="0B1220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5"/>
              </w:rPr>
              <w:t>G3 • Mapping Approved</w:t>
            </w:r>
          </w:p>
        </w:tc>
        <w:tc>
          <w:tcPr>
            <w:tcW w:type="dxa" w:w="5328"/>
            <w:shd w:fill="F8FAFC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mapping i reguły transformacji zostały zatwierdzone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8136"/>
      </w:tblGrid>
      <w:tr>
        <w:tc>
          <w:tcPr>
            <w:tcW w:type="dxa" w:w="5328"/>
            <w:shd w:fill="0B1220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5"/>
              </w:rPr>
              <w:t>G4 • Trial Passed</w:t>
            </w:r>
          </w:p>
        </w:tc>
        <w:tc>
          <w:tcPr>
            <w:tcW w:type="dxa" w:w="5328"/>
            <w:shd w:fill="F8FAFC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migracja próbna osiągnęła ustalone parametry techniczne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8136"/>
      </w:tblGrid>
      <w:tr>
        <w:tc>
          <w:tcPr>
            <w:tcW w:type="dxa" w:w="5328"/>
            <w:shd w:fill="0B1220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5"/>
              </w:rPr>
              <w:t>G5 • Business Validated</w:t>
            </w:r>
          </w:p>
        </w:tc>
        <w:tc>
          <w:tcPr>
            <w:tcW w:type="dxa" w:w="5328"/>
            <w:shd w:fill="F8FAFC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walidacja biznesowa i techniczna zakończyła się akceptacją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8136"/>
      </w:tblGrid>
      <w:tr>
        <w:tc>
          <w:tcPr>
            <w:tcW w:type="dxa" w:w="5328"/>
            <w:shd w:fill="0B1220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5"/>
              </w:rPr>
              <w:t>G6 • Go-Live Approved</w:t>
            </w:r>
          </w:p>
        </w:tc>
        <w:tc>
          <w:tcPr>
            <w:tcW w:type="dxa" w:w="5328"/>
            <w:shd w:fill="F8FAFC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cutover, backup, rollback i zasoby są gotowe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8136"/>
      </w:tblGrid>
      <w:tr>
        <w:tc>
          <w:tcPr>
            <w:tcW w:type="dxa" w:w="5328"/>
            <w:shd w:fill="0B1220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5"/>
              </w:rPr>
              <w:t>G7 • Migration Accepted</w:t>
            </w:r>
          </w:p>
        </w:tc>
        <w:tc>
          <w:tcPr>
            <w:tcW w:type="dxa" w:w="5328"/>
            <w:shd w:fill="F8FAFC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okres stabilizacji zakończył się spełnieniem kryteriów odbioru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i w:val="0"/>
          <w:color w:val="2563EB"/>
          <w:sz w:val="19"/>
        </w:rPr>
        <w:t xml:space="preserve">04  </w:t>
      </w:r>
      <w:r>
        <w:rPr>
          <w:rFonts w:ascii="Aptos Display" w:hAnsi="Aptos Display"/>
          <w:b/>
          <w:i w:val="0"/>
          <w:color w:val="0B1220"/>
          <w:sz w:val="27"/>
        </w:rPr>
        <w:t>Minimalny zestaw kryteriów jakości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rPr>
          <w:tblHeader w:val="true"/>
        </w:trPr>
        <w:tc>
          <w:tcPr>
            <w:tcW w:type="dxa" w:w="2664"/>
            <w:shd w:fill="0B1220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Obszar</w:t>
            </w:r>
          </w:p>
        </w:tc>
        <w:tc>
          <w:tcPr>
            <w:tcW w:type="dxa" w:w="2664"/>
            <w:shd w:fill="0B1220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Co mierzymy</w:t>
            </w:r>
          </w:p>
        </w:tc>
        <w:tc>
          <w:tcPr>
            <w:tcW w:type="dxa" w:w="2664"/>
            <w:shd w:fill="0B1220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Przykładowa kontrola</w:t>
            </w:r>
          </w:p>
        </w:tc>
        <w:tc>
          <w:tcPr>
            <w:tcW w:type="dxa" w:w="2664"/>
            <w:shd w:fill="0B1220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Dowód</w:t>
            </w:r>
          </w:p>
        </w:tc>
      </w:tr>
      <w:tr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4"/>
              </w:rPr>
              <w:t>Kompletność</w:t>
            </w:r>
          </w:p>
        </w:tc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czy wszystko, co miało być przeniesione, zostało przeniesione</w:t>
            </w:r>
          </w:p>
        </w:tc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liczba rekordów / plików źródło vs cel</w:t>
            </w:r>
          </w:p>
        </w:tc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raport liczbowy</w:t>
            </w:r>
          </w:p>
        </w:tc>
      </w:tr>
      <w:tr>
        <w:tc>
          <w:tcPr>
            <w:tcW w:type="dxa" w:w="2664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4"/>
              </w:rPr>
              <w:t>Integralność</w:t>
            </w:r>
          </w:p>
        </w:tc>
        <w:tc>
          <w:tcPr>
            <w:tcW w:type="dxa" w:w="2664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czy relacje między rekordami zostały zachowane</w:t>
            </w:r>
          </w:p>
        </w:tc>
        <w:tc>
          <w:tcPr>
            <w:tcW w:type="dxa" w:w="2664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klucze, referencje, rekordy osierocone</w:t>
            </w:r>
          </w:p>
        </w:tc>
        <w:tc>
          <w:tcPr>
            <w:tcW w:type="dxa" w:w="2664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test integralności</w:t>
            </w:r>
          </w:p>
        </w:tc>
      </w:tr>
      <w:tr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4"/>
              </w:rPr>
              <w:t>Transformacja</w:t>
            </w:r>
          </w:p>
        </w:tc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czy reguły mappingu zostały wykonane poprawnie</w:t>
            </w:r>
          </w:p>
        </w:tc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kontrola pól, słowników, statusów</w:t>
            </w:r>
          </w:p>
        </w:tc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raport transformacji</w:t>
            </w:r>
          </w:p>
        </w:tc>
      </w:tr>
      <w:tr>
        <w:tc>
          <w:tcPr>
            <w:tcW w:type="dxa" w:w="2664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4"/>
              </w:rPr>
              <w:t>Biznes</w:t>
            </w:r>
          </w:p>
        </w:tc>
        <w:tc>
          <w:tcPr>
            <w:tcW w:type="dxa" w:w="2664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czy dane działają w realnych procesach</w:t>
            </w:r>
          </w:p>
        </w:tc>
        <w:tc>
          <w:tcPr>
            <w:tcW w:type="dxa" w:w="2664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scenariusze użytkownika i próbkowanie</w:t>
            </w:r>
          </w:p>
        </w:tc>
        <w:tc>
          <w:tcPr>
            <w:tcW w:type="dxa" w:w="2664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protokół UAT</w:t>
            </w:r>
          </w:p>
        </w:tc>
      </w:tr>
      <w:tr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4"/>
              </w:rPr>
              <w:t>Bezpieczeństwo</w:t>
            </w:r>
          </w:p>
        </w:tc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czy transfer i kopie były kontrolowane</w:t>
            </w:r>
          </w:p>
        </w:tc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dostępy, szyfrowanie, logi, usunięcie kopii</w:t>
            </w:r>
          </w:p>
        </w:tc>
        <w:tc>
          <w:tcPr>
            <w:tcW w:type="dxa" w:w="2664"/>
            <w:shd w:fill="F8FAFC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4"/>
              </w:rPr>
              <w:t>checklista bezpieczeństwa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8064"/>
      </w:tblGrid>
      <w:tr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25880" cy="31117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311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6C5F0"/>
                <w:sz w:val="16"/>
              </w:rPr>
              <w:t>EINTELLIX • GOVERNANCE</w:t>
            </w:r>
          </w:p>
          <w:p>
            <w:pPr>
              <w:spacing w:after="40"/>
            </w:pPr>
            <w:r>
              <w:rPr>
                <w:rFonts w:ascii="Aptos Display" w:hAnsi="Aptos Display"/>
                <w:b/>
                <w:i w:val="0"/>
                <w:color w:val="FFFFFF"/>
                <w:sz w:val="40"/>
              </w:rPr>
              <w:t>Odpowiedzialność stron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D0D5DD"/>
                <w:sz w:val="17"/>
              </w:rPr>
              <w:t>Rozdzielenie odpowiedzialności za źródło danych, decyzje biznesowe i wykonanie techniczne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i w:val="0"/>
          <w:color w:val="2563EB"/>
          <w:sz w:val="19"/>
        </w:rPr>
        <w:t xml:space="preserve">05  </w:t>
      </w:r>
      <w:r>
        <w:rPr>
          <w:rFonts w:ascii="Aptos Display" w:hAnsi="Aptos Display"/>
          <w:b/>
          <w:i w:val="0"/>
          <w:color w:val="0B1220"/>
          <w:sz w:val="27"/>
        </w:rPr>
        <w:t>Odpowiedzialność stron - zasada bazowa</w:t>
      </w:r>
    </w:p>
    <w:p>
      <w:pPr>
        <w:spacing w:after="100" w:line="259" w:lineRule="auto"/>
      </w:pPr>
      <w:r>
        <w:rPr>
          <w:rFonts w:ascii="Aptos" w:hAnsi="Aptos"/>
          <w:b w:val="0"/>
          <w:i w:val="0"/>
          <w:color w:val="475467"/>
          <w:sz w:val="17"/>
        </w:rPr>
        <w:t>Szczegółowe RACI powstaje po Discovery; poniżej przedstawiono podział odpowiedzialności, który porządkuje pierwsze ustalenia.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3552"/>
            <w:shd w:fill="0B1220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Obszar</w:t>
            </w:r>
          </w:p>
        </w:tc>
        <w:tc>
          <w:tcPr>
            <w:tcW w:type="dxa" w:w="3552"/>
            <w:shd w:fill="0B1220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Klient / Organizacja</w:t>
            </w:r>
          </w:p>
        </w:tc>
        <w:tc>
          <w:tcPr>
            <w:tcW w:type="dxa" w:w="3552"/>
            <w:shd w:fill="0B1220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EINTELLIX</w:t>
            </w:r>
          </w:p>
        </w:tc>
      </w:tr>
      <w:tr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5"/>
              </w:rPr>
              <w:t>Zakres biznesowy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wskazanie danych, procesów i priorytetów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facylitacja analizy i dokumentacja zakresu</w:t>
            </w:r>
          </w:p>
        </w:tc>
      </w:tr>
      <w:tr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5"/>
              </w:rPr>
              <w:t>Dane źródłowe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zapewnienie dostępu i właścicieli danych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analiza techniczna i profilowanie</w:t>
            </w:r>
          </w:p>
        </w:tc>
      </w:tr>
      <w:tr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5"/>
              </w:rPr>
              <w:t>Jakość źródła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potwierdzenie znaczenia biznesowego i decyzje korekt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identyfikacja problemów i wdrożenie zatwierdzonych reguł</w:t>
            </w:r>
          </w:p>
        </w:tc>
      </w:tr>
      <w:tr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5"/>
              </w:rPr>
              <w:t>Mapping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akceptacja semantyki i reguł biznesowych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projekt mappingu i transformacji</w:t>
            </w:r>
          </w:p>
        </w:tc>
      </w:tr>
      <w:tr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5"/>
              </w:rPr>
              <w:t>Walidacja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akceptacja scenariuszy i wyniku biznesowego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testy techniczne, raportowanie, obsługa odchyleń</w:t>
            </w:r>
          </w:p>
        </w:tc>
      </w:tr>
      <w:tr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/>
                <w:i w:val="0"/>
                <w:color w:val="344054"/>
                <w:sz w:val="15"/>
              </w:rPr>
              <w:t>Go-live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decyzja biznesowa GO / NO-GO</w:t>
            </w:r>
          </w:p>
        </w:tc>
        <w:tc>
          <w:tcPr>
            <w:tcW w:type="dxa" w:w="355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gotowość techniczna, wykonanie cutover i wsparcie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CFDF3"/>
            <w:tcMar>
              <w:top w:w="105" w:type="dxa"/>
              <w:start w:w="130" w:type="dxa"/>
              <w:bottom w:w="105" w:type="dxa"/>
              <w:end w:w="130" w:type="dxa"/>
            </w:tcMar>
            <w:tcBorders>
              <w:left w:val="single" w:sz="18" w:color="12B76A"/>
            </w:tcBorders>
          </w:tcPr>
          <w:p>
            <w:r>
              <w:rPr>
                <w:rFonts w:ascii="Aptos" w:hAnsi="Aptos"/>
                <w:b/>
                <w:i w:val="0"/>
                <w:color w:val="0B1220"/>
                <w:sz w:val="18"/>
              </w:rPr>
              <w:t>Zasada odpowiedzialności za źródło</w:t>
            </w:r>
          </w:p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44054"/>
                <w:sz w:val="17"/>
              </w:rPr>
              <w:t>EINTELLIX odpowiada za wykonanie uzgodnionych reguł migracji i raportowanie wyniku. Właściciel danych po stronie klienta potwierdza znaczenie biznesowe danych, akceptuje reguły korekt oraz wynik walidacji. Dzięki temu błędy istniejące w źródle są odróżniane od błędów powstałych w procesie migracji.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8064"/>
      </w:tblGrid>
      <w:tr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25880" cy="31117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311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5" w:type="dxa"/>
              <w:start w:w="145" w:type="dxa"/>
              <w:bottom w:w="125" w:type="dxa"/>
              <w:end w:w="145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6C5F0"/>
                <w:sz w:val="16"/>
              </w:rPr>
              <w:t>EINTELLIX • REALIZACJA</w:t>
            </w:r>
          </w:p>
          <w:p>
            <w:pPr>
              <w:spacing w:after="40"/>
            </w:pPr>
            <w:r>
              <w:rPr>
                <w:rFonts w:ascii="Aptos Display" w:hAnsi="Aptos Display"/>
                <w:b/>
                <w:i w:val="0"/>
                <w:color w:val="FFFFFF"/>
                <w:sz w:val="40"/>
              </w:rPr>
              <w:t>Artefakty i plan kolejnych działań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D0D5DD"/>
                <w:sz w:val="17"/>
              </w:rPr>
              <w:t>Dokumentacja zapewniająca kontrolę i powtarzalność procesu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i w:val="0"/>
          <w:color w:val="2563EB"/>
          <w:sz w:val="19"/>
        </w:rPr>
        <w:t xml:space="preserve">06  </w:t>
      </w:r>
      <w:r>
        <w:rPr>
          <w:rFonts w:ascii="Aptos Display" w:hAnsi="Aptos Display"/>
          <w:b/>
          <w:i w:val="0"/>
          <w:color w:val="0B1220"/>
          <w:sz w:val="27"/>
        </w:rPr>
        <w:t>Kluczowe artefakty metodyki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Discovery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karta zakresu • mapa systemów • lista integracji • rejestr decyzji</w:t>
            </w:r>
          </w:p>
        </w:tc>
        <w:tc>
          <w:tcPr>
            <w:tcW w:type="dxa" w:w="5328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Audit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raport jakości • katalog danych • rejestr ryzyk • lista problemów</w:t>
            </w:r>
          </w:p>
        </w:tc>
      </w:tr>
      <w:tr>
        <w:tc>
          <w:tcPr>
            <w:tcW w:type="dxa" w:w="5328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Mapping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Data Mapping Specification • reguły transformacji • słowniki</w:t>
            </w:r>
          </w:p>
        </w:tc>
        <w:tc>
          <w:tcPr>
            <w:tcW w:type="dxa" w:w="5328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Cleansing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reguły czyszczenia • raport korekt • wyjątki</w:t>
            </w:r>
          </w:p>
        </w:tc>
      </w:tr>
      <w:tr>
        <w:tc>
          <w:tcPr>
            <w:tcW w:type="dxa" w:w="5328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Trial Migration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raport próby • log błędów • pomiary czasu • lista poprawek</w:t>
            </w:r>
          </w:p>
        </w:tc>
        <w:tc>
          <w:tcPr>
            <w:tcW w:type="dxa" w:w="5328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Validation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raport walidacyjny • UAT • lista odchyleń • akceptacja</w:t>
            </w:r>
          </w:p>
        </w:tc>
      </w:tr>
      <w:tr>
        <w:tc>
          <w:tcPr>
            <w:tcW w:type="dxa" w:w="5328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Cutover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runbook • checklista • backup / rollback • log operacji</w:t>
            </w:r>
          </w:p>
        </w:tc>
        <w:tc>
          <w:tcPr>
            <w:tcW w:type="dxa" w:w="5328"/>
            <w:shd w:fill="F8FAFC"/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2563EB"/>
                <w:sz w:val="16"/>
              </w:rPr>
              <w:t>Stabilization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44054"/>
                <w:sz w:val="15"/>
              </w:rPr>
              <w:t>raport stabilizacji • protokół odbioru • lista działań końcowych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i w:val="0"/>
          <w:color w:val="2563EB"/>
          <w:sz w:val="19"/>
        </w:rPr>
        <w:t xml:space="preserve">07  </w:t>
      </w:r>
      <w:r>
        <w:rPr>
          <w:rFonts w:ascii="Aptos Display" w:hAnsi="Aptos Display"/>
          <w:b/>
          <w:i w:val="0"/>
          <w:color w:val="0B1220"/>
          <w:sz w:val="27"/>
        </w:rPr>
        <w:t>Jak zastosujemy metodykę po pierwszym spotkaniu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0B1220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36C5F0"/>
                <w:sz w:val="24"/>
              </w:rPr>
              <w:t>1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Uzupełnienie danych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D0D5DD"/>
                <w:sz w:val="13"/>
              </w:rPr>
              <w:t>zamknięcie braków z ankiety i warsztatu</w:t>
            </w:r>
          </w:p>
        </w:tc>
        <w:tc>
          <w:tcPr>
            <w:tcW w:type="dxa" w:w="2664"/>
            <w:shd w:fill="EEF4FF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2563EB"/>
                <w:sz w:val="24"/>
              </w:rPr>
              <w:t>2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0B1220"/>
                <w:sz w:val="15"/>
              </w:rPr>
              <w:t>Discovery + Audit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475467"/>
                <w:sz w:val="13"/>
              </w:rPr>
              <w:t>potwierdzenie zakresu i technicznych możliwości migracji</w:t>
            </w:r>
          </w:p>
        </w:tc>
        <w:tc>
          <w:tcPr>
            <w:tcW w:type="dxa" w:w="2664"/>
            <w:shd w:fill="EEF4FF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2563EB"/>
                <w:sz w:val="24"/>
              </w:rPr>
              <w:t>3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0B1220"/>
                <w:sz w:val="15"/>
              </w:rPr>
              <w:t>Projekt migracji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475467"/>
                <w:sz w:val="13"/>
              </w:rPr>
              <w:t>mapping, model migracji, ryzyka, harmonogram i wycena</w:t>
            </w:r>
          </w:p>
        </w:tc>
        <w:tc>
          <w:tcPr>
            <w:tcW w:type="dxa" w:w="2664"/>
            <w:shd w:fill="0B1220"/>
            <w:tcMar>
              <w:top w:w="85" w:type="dxa"/>
              <w:start w:w="80" w:type="dxa"/>
              <w:bottom w:w="85" w:type="dxa"/>
              <w:end w:w="80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i w:val="0"/>
                <w:color w:val="36C5F0"/>
                <w:sz w:val="24"/>
              </w:rPr>
              <w:t>4</w:t>
            </w:r>
          </w:p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Decyzja wdrożeniowa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D0D5DD"/>
                <w:sz w:val="13"/>
              </w:rPr>
              <w:t>akceptacja zakresu, modelu i dalszego planu realizacji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CFDF3"/>
            <w:tcMar>
              <w:top w:w="105" w:type="dxa"/>
              <w:start w:w="130" w:type="dxa"/>
              <w:bottom w:w="105" w:type="dxa"/>
              <w:end w:w="130" w:type="dxa"/>
            </w:tcMar>
            <w:tcBorders>
              <w:left w:val="single" w:sz="18" w:color="12B76A"/>
            </w:tcBorders>
          </w:tcPr>
          <w:p>
            <w:r>
              <w:rPr>
                <w:rFonts w:ascii="Aptos" w:hAnsi="Aptos"/>
                <w:b/>
                <w:i w:val="0"/>
                <w:color w:val="0B1220"/>
                <w:sz w:val="18"/>
              </w:rPr>
              <w:t>Założenie projektowe</w:t>
            </w:r>
          </w:p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44054"/>
                <w:sz w:val="17"/>
              </w:rPr>
              <w:t>Metodyka jest ramą sterującą, a nie sztywnym scenariuszem. Po analizie środowiska Klient / Organizacja poszczególne etapy, kryteria i artefakty zostaną dopasowane do wybranego modelu migracji, skali danych, krytyczności procesów oraz uzgodnionego poziomu ryzyka.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i w:val="0"/>
          <w:color w:val="2563EB"/>
          <w:sz w:val="19"/>
        </w:rPr>
        <w:t xml:space="preserve">08  </w:t>
      </w:r>
      <w:r>
        <w:rPr>
          <w:rFonts w:ascii="Aptos Display" w:hAnsi="Aptos Display"/>
          <w:b/>
          <w:i w:val="0"/>
          <w:color w:val="0B1220"/>
          <w:sz w:val="27"/>
        </w:rPr>
        <w:t>Kontakt projektowy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0B1220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20"/>
              </w:rPr>
              <w:t>Jerzy Wyszomirski</w:t>
            </w:r>
          </w:p>
          <w:p>
            <w:r>
              <w:rPr>
                <w:rFonts w:ascii="Aptos" w:hAnsi="Aptos"/>
                <w:b w:val="0"/>
                <w:i w:val="0"/>
                <w:color w:val="D0D5DD"/>
                <w:sz w:val="16"/>
              </w:rPr>
              <w:t>Wiceprezes Zarządu</w:t>
            </w:r>
          </w:p>
          <w:p>
            <w:r>
              <w:rPr>
                <w:rFonts w:ascii="Aptos" w:hAnsi="Aptos"/>
                <w:b w:val="0"/>
                <w:i w:val="0"/>
                <w:color w:val="D0D5DD"/>
                <w:sz w:val="16"/>
              </w:rPr>
              <w:t>EINTELLIX Sp. z o.o.</w:t>
            </w:r>
          </w:p>
        </w:tc>
        <w:tc>
          <w:tcPr>
            <w:tcW w:type="dxa" w:w="5328"/>
            <w:shd w:fill="F8FAFC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0B1220"/>
                <w:sz w:val="18"/>
              </w:rPr>
              <w:t>+48 530 723 223</w:t>
            </w:r>
          </w:p>
          <w:p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jerzy.wyszomirski@eintellix.com</w:t>
            </w:r>
          </w:p>
          <w:p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www.eintellix.com</w:t>
            </w:r>
          </w:p>
          <w:p>
            <w:r>
              <w:rPr>
                <w:rFonts w:ascii="Aptos" w:hAnsi="Aptos"/>
                <w:b w:val="0"/>
                <w:i w:val="0"/>
                <w:color w:val="475467"/>
                <w:sz w:val="16"/>
              </w:rPr>
              <w:t>ul. Parowcowa 43 lok. 4, 02-440 Warszawa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67085"/>
        <w:sz w:val="14"/>
      </w:rPr>
      <w:t>EINTELLIX Sp. z o.o.  |  www.eintellix.com  |  kontakt@eintellix.com  |  +48 502 743 825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