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08"/>
        <w:gridCol w:w="7992"/>
      </w:tblGrid>
      <w:tr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53312" cy="3176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317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/>
                <w:color w:val="36C5F0"/>
                <w:sz w:val="16"/>
              </w:rPr>
              <w:t>KLIENT / ORGANIZACJA</w:t>
            </w:r>
          </w:p>
          <w:p>
            <w:r>
              <w:rPr>
                <w:rFonts w:ascii="Aptos Display" w:hAnsi="Aptos Display"/>
                <w:b/>
                <w:color w:val="FFFFFF"/>
                <w:sz w:val="40"/>
              </w:rPr>
              <w:t>Modele migracji danych</w:t>
            </w:r>
          </w:p>
          <w:p>
            <w:r>
              <w:rPr>
                <w:rFonts w:ascii="Aptos" w:hAnsi="Aptos"/>
                <w:color w:val="D0D5DD"/>
                <w:sz w:val="18"/>
              </w:rPr>
              <w:t>Materiał do rozmowy projektowej • warianty wdrożenia • kryteria wyboru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nil"/>
              <w:left w:val="single" w:sz="18" w:color="2563EB"/>
              <w:bottom w:val="nil"/>
              <w:right w:val="nil"/>
            </w:tcBorders>
          </w:tcPr>
          <w:p>
            <w:r>
              <w:rPr>
                <w:rFonts w:ascii="Aptos" w:hAnsi="Aptos"/>
                <w:b/>
                <w:color w:val="0B1220"/>
                <w:sz w:val="19"/>
              </w:rPr>
              <w:t>Cel dokumentu</w:t>
            </w:r>
          </w:p>
          <w:p>
            <w:pPr>
              <w:spacing w:after="0" w:line="259" w:lineRule="auto"/>
            </w:pPr>
            <w:r>
              <w:rPr>
                <w:rFonts w:ascii="Aptos" w:hAnsi="Aptos"/>
                <w:color w:val="344054"/>
                <w:sz w:val="17"/>
              </w:rPr>
              <w:t>Przedstawienie możliwych sposobów przeprowadzenia migracji danych oraz konsekwencji każdego wariantu dla ciągłości działania, poziomu ryzyka, czasu wdrożenia i złożoności technicznej. Dokument służy do wspólnego wyboru architektury migracji po analizie środowiska źródłowego i docelowego.</w:t>
            </w:r>
          </w:p>
        </w:tc>
      </w:tr>
    </w:tbl>
    <w:p>
      <w:pPr>
        <w:spacing w:after="0"/>
      </w:pPr>
    </w:p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01  </w:t>
      </w:r>
      <w:r>
        <w:rPr>
          <w:rFonts w:ascii="Aptos Display" w:hAnsi="Aptos Display"/>
          <w:b/>
          <w:color w:val="0B1220"/>
          <w:sz w:val="28"/>
        </w:rPr>
        <w:t>Cztery podstawowe modele wdrożenia</w:t>
      </w:r>
    </w:p>
    <w:p>
      <w:pPr>
        <w:spacing w:after="100" w:line="264" w:lineRule="auto"/>
      </w:pPr>
      <w:r>
        <w:rPr>
          <w:rFonts w:ascii="Aptos" w:hAnsi="Aptos"/>
          <w:color w:val="475467"/>
          <w:sz w:val="18"/>
        </w:rPr>
        <w:t>W praktyce projekt może wykorzystywać jeden model albo połączenie kilku podejść, zależnie od systemów, krytyczności procesów i dostępnego okna migracyjnego.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</w:tcPr>
          <w:p>
            <w:r>
              <w:rPr>
                <w:rFonts w:ascii="Aptos" w:hAnsi="Aptos"/>
                <w:b/>
                <w:color w:val="2563EB"/>
                <w:sz w:val="16"/>
              </w:rPr>
              <w:t xml:space="preserve">MODEL 1  </w:t>
            </w:r>
            <w:r>
              <w:rPr>
                <w:rFonts w:ascii="Aptos Display" w:hAnsi="Aptos Display"/>
                <w:b/>
                <w:color w:val="0B1220"/>
                <w:sz w:val="26"/>
              </w:rPr>
              <w:t>Big Bang</w:t>
            </w:r>
          </w:p>
          <w:p>
            <w:r>
              <w:rPr>
                <w:rFonts w:ascii="Aptos" w:hAnsi="Aptos"/>
                <w:i/>
                <w:color w:val="667085"/>
                <w:sz w:val="17"/>
              </w:rPr>
              <w:t>Jednorazowe przełączenie ze starego systemu na nowy.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Najlepiej gdy: </w:t>
            </w:r>
            <w:r>
              <w:rPr>
                <w:rFonts w:ascii="Aptos" w:hAnsi="Aptos"/>
                <w:color w:val="475467"/>
                <w:sz w:val="17"/>
              </w:rPr>
              <w:t>zakres danych jest dobrze rozpoznany, liczba integracji jest ograniczona, a organizacja może zaakceptować zamknięte okno serwisowe.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Przebieg: </w:t>
            </w:r>
            <w:r>
              <w:rPr>
                <w:rFonts w:ascii="Aptos" w:hAnsi="Aptos"/>
                <w:color w:val="475467"/>
                <w:sz w:val="17"/>
              </w:rPr>
              <w:t>backup → finalny eksport → transformacja → import → walidacja → przełączenie użytkowników.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Mocne strony: </w:t>
            </w:r>
            <w:r>
              <w:rPr>
                <w:rFonts w:ascii="Aptos" w:hAnsi="Aptos"/>
                <w:color w:val="475467"/>
                <w:sz w:val="17"/>
              </w:rPr>
              <w:t>najprostsza organizacja, krótszy okres przejściowy, niższy koszt utrzymania dwóch środowisk.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Ograniczenia / ryzyka: </w:t>
            </w:r>
            <w:r>
              <w:rPr>
                <w:rFonts w:ascii="Aptos" w:hAnsi="Aptos"/>
                <w:color w:val="475467"/>
                <w:sz w:val="17"/>
              </w:rPr>
              <w:t>duża koncentracja ryzyka w dniu przełączenia; wymaga bardzo dobrych testów i planu rollbacku.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Ryzyko operacyjne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Downtime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Złożoność</w:t>
                  </w:r>
                </w:p>
              </w:tc>
            </w:tr>
            <w:tr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wyższe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średni / wysoki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średnia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</w:tcPr>
          <w:p>
            <w:r>
              <w:rPr>
                <w:rFonts w:ascii="Aptos" w:hAnsi="Aptos"/>
                <w:b/>
                <w:color w:val="2563EB"/>
                <w:sz w:val="16"/>
              </w:rPr>
              <w:t xml:space="preserve">MODEL 2  </w:t>
            </w:r>
            <w:r>
              <w:rPr>
                <w:rFonts w:ascii="Aptos Display" w:hAnsi="Aptos Display"/>
                <w:b/>
                <w:color w:val="0B1220"/>
                <w:sz w:val="26"/>
              </w:rPr>
              <w:t>Migracja etapowa</w:t>
            </w:r>
          </w:p>
          <w:p>
            <w:r>
              <w:rPr>
                <w:rFonts w:ascii="Aptos" w:hAnsi="Aptos"/>
                <w:i/>
                <w:color w:val="667085"/>
                <w:sz w:val="17"/>
              </w:rPr>
              <w:t>Przenoszenie danych partiami: modułami, jednostkami, regionami lub grupami danych.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Najlepiej gdy: </w:t>
            </w:r>
            <w:r>
              <w:rPr>
                <w:rFonts w:ascii="Aptos" w:hAnsi="Aptos"/>
                <w:color w:val="475467"/>
                <w:sz w:val="17"/>
              </w:rPr>
              <w:t>organizacja jest duża, system obejmuje wiele procesów lub potrzebne jest ograniczanie ryzyka krok po kroku.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Przebieg: </w:t>
            </w:r>
            <w:r>
              <w:rPr>
                <w:rFonts w:ascii="Aptos" w:hAnsi="Aptos"/>
                <w:color w:val="475467"/>
                <w:sz w:val="17"/>
              </w:rPr>
              <w:t>pilot → kolejne partie danych → walidacja każdej partii → finalne domknięcie zakresu.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Mocne strony: </w:t>
            </w:r>
            <w:r>
              <w:rPr>
                <w:rFonts w:ascii="Aptos" w:hAnsi="Aptos"/>
                <w:color w:val="475467"/>
                <w:sz w:val="17"/>
              </w:rPr>
              <w:t>mniejsze ryzyko jednorazowe, możliwość uczenia się na kolejnych etapach, łatwiejsze zarządzanie błędami.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Ograniczenia / ryzyka: </w:t>
            </w:r>
            <w:r>
              <w:rPr>
                <w:rFonts w:ascii="Aptos" w:hAnsi="Aptos"/>
                <w:color w:val="475467"/>
                <w:sz w:val="17"/>
              </w:rPr>
              <w:t>dłuższy projekt, okres współistnienia dwóch środowisk, większa koordynacja.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Ryzyko operacyjne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Downtime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Złożoność</w:t>
                  </w:r>
                </w:p>
              </w:tc>
            </w:tr>
            <w:tr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średnie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niski / średni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średnia / wysoka</w:t>
                  </w:r>
                </w:p>
              </w:tc>
            </w:tr>
          </w:tbl>
          <w:p/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08"/>
        <w:gridCol w:w="7992"/>
      </w:tblGrid>
      <w:tr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53312" cy="31761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317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/>
                <w:color w:val="36C5F0"/>
                <w:sz w:val="16"/>
              </w:rPr>
              <w:t>EINTELLIX • MODELE MIGRACJI</w:t>
            </w:r>
          </w:p>
          <w:p>
            <w:r>
              <w:rPr>
                <w:rFonts w:ascii="Aptos Display" w:hAnsi="Aptos Display"/>
                <w:b/>
                <w:color w:val="FFFFFF"/>
                <w:sz w:val="40"/>
              </w:rPr>
              <w:t>Warianty o podwyższonej ciągłości działania</w:t>
            </w:r>
          </w:p>
          <w:p>
            <w:r>
              <w:rPr>
                <w:rFonts w:ascii="Aptos" w:hAnsi="Aptos"/>
                <w:color w:val="D0D5DD"/>
                <w:sz w:val="18"/>
              </w:rPr>
              <w:t>Dla systemów krytycznych i środowisk o ograniczonym downtime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</w:tcPr>
          <w:p>
            <w:r>
              <w:rPr>
                <w:rFonts w:ascii="Aptos" w:hAnsi="Aptos"/>
                <w:b/>
                <w:color w:val="2563EB"/>
                <w:sz w:val="16"/>
              </w:rPr>
              <w:t xml:space="preserve">MODEL 3  </w:t>
            </w:r>
            <w:r>
              <w:rPr>
                <w:rFonts w:ascii="Aptos Display" w:hAnsi="Aptos Display"/>
                <w:b/>
                <w:color w:val="0B1220"/>
                <w:sz w:val="26"/>
              </w:rPr>
              <w:t>Parallel Run</w:t>
            </w:r>
          </w:p>
          <w:p>
            <w:r>
              <w:rPr>
                <w:rFonts w:ascii="Aptos" w:hAnsi="Aptos"/>
                <w:i/>
                <w:color w:val="667085"/>
                <w:sz w:val="17"/>
              </w:rPr>
              <w:t>Stary i nowy system działają równolegle przez uzgodniony okres.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Najlepiej gdy: </w:t>
            </w:r>
            <w:r>
              <w:rPr>
                <w:rFonts w:ascii="Aptos" w:hAnsi="Aptos"/>
                <w:color w:val="475467"/>
                <w:sz w:val="17"/>
              </w:rPr>
              <w:t>poprawność działania ma wyższy priorytet niż szybkość wdrożenia, a organizacja potrzebuje możliwości porównania wyników obu systemów.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Przebieg: </w:t>
            </w:r>
            <w:r>
              <w:rPr>
                <w:rFonts w:ascii="Aptos" w:hAnsi="Aptos"/>
                <w:color w:val="475467"/>
                <w:sz w:val="17"/>
              </w:rPr>
              <w:t>migracja → uruchomienie równoległe → porównanie danych i procesów → decyzja o wyłączeniu starego systemu.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Mocne strony: </w:t>
            </w:r>
            <w:r>
              <w:rPr>
                <w:rFonts w:ascii="Aptos" w:hAnsi="Aptos"/>
                <w:color w:val="475467"/>
                <w:sz w:val="17"/>
              </w:rPr>
              <w:t>bardzo dobra kontrola ryzyka, możliwość porównania wyników, łatwiejszy powrót do starego rozwiązania.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Ograniczenia / ryzyka: </w:t>
            </w:r>
            <w:r>
              <w:rPr>
                <w:rFonts w:ascii="Aptos" w:hAnsi="Aptos"/>
                <w:color w:val="475467"/>
                <w:sz w:val="17"/>
              </w:rPr>
              <w:t>wyższy koszt, podwójna obsługa, ryzyko rozbieżności jeśli oba systemy przyjmują zmiany.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Ryzyko operacyjne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Downtime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Złożoność</w:t>
                  </w:r>
                </w:p>
              </w:tc>
            </w:tr>
            <w:tr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niskie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niski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wysoka</w:t>
                  </w:r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8FAF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6" w:color="D0D5DD"/>
              <w:left w:val="single" w:sz="6" w:color="D0D5DD"/>
              <w:bottom w:val="single" w:sz="6" w:color="D0D5DD"/>
              <w:right w:val="single" w:sz="6" w:color="D0D5DD"/>
            </w:tcBorders>
          </w:tcPr>
          <w:p>
            <w:r>
              <w:rPr>
                <w:rFonts w:ascii="Aptos" w:hAnsi="Aptos"/>
                <w:b/>
                <w:color w:val="2563EB"/>
                <w:sz w:val="16"/>
              </w:rPr>
              <w:t xml:space="preserve">MODEL 4  </w:t>
            </w:r>
            <w:r>
              <w:rPr>
                <w:rFonts w:ascii="Aptos Display" w:hAnsi="Aptos Display"/>
                <w:b/>
                <w:color w:val="0B1220"/>
                <w:sz w:val="26"/>
              </w:rPr>
              <w:t>Migracja z synchronizacją przyrostową</w:t>
            </w:r>
          </w:p>
          <w:p>
            <w:r>
              <w:rPr>
                <w:rFonts w:ascii="Aptos" w:hAnsi="Aptos"/>
                <w:i/>
                <w:color w:val="667085"/>
                <w:sz w:val="17"/>
              </w:rPr>
              <w:t>Pełna migracja początkowa, a następnie cykliczne przesyłanie zmian do nowego systemu.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Najlepiej gdy: </w:t>
            </w:r>
            <w:r>
              <w:rPr>
                <w:rFonts w:ascii="Aptos" w:hAnsi="Aptos"/>
                <w:color w:val="475467"/>
                <w:sz w:val="17"/>
              </w:rPr>
              <w:t>system musi pracować niemal bez przerwy, wolumen danych jest znaczny lub finalne okno przełączenia ma być bardzo krótkie.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Przebieg: </w:t>
            </w:r>
            <w:r>
              <w:rPr>
                <w:rFonts w:ascii="Aptos" w:hAnsi="Aptos"/>
                <w:color w:val="475467"/>
                <w:sz w:val="17"/>
              </w:rPr>
              <w:t>pełna kopia → synchronizacje delta → testy → finalna synchronizacja → cutover.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Mocne strony: </w:t>
            </w:r>
            <w:r>
              <w:rPr>
                <w:rFonts w:ascii="Aptos" w:hAnsi="Aptos"/>
                <w:color w:val="475467"/>
                <w:sz w:val="17"/>
              </w:rPr>
              <w:t>minimalizacja downtime, wcześniejsze zasilenie nowego środowiska, możliwość wielu iteracji walidacji.</w:t>
            </w:r>
          </w:p>
          <w:p>
            <w:pPr>
              <w:spacing w:after="40" w:line="252" w:lineRule="auto"/>
            </w:pPr>
            <w:r>
              <w:rPr>
                <w:rFonts w:ascii="Aptos" w:hAnsi="Aptos"/>
                <w:b/>
                <w:color w:val="344054"/>
                <w:sz w:val="17"/>
              </w:rPr>
              <w:t xml:space="preserve">Ograniczenia / ryzyka: </w:t>
            </w:r>
            <w:r>
              <w:rPr>
                <w:rFonts w:ascii="Aptos" w:hAnsi="Aptos"/>
                <w:color w:val="475467"/>
                <w:sz w:val="17"/>
              </w:rPr>
              <w:t>najwyższa złożoność techniczna; wymaga niezawodnego sposobu identyfikowania zmian, np. API, CDC lub logów transakcyjnych.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552"/>
              <w:gridCol w:w="3552"/>
              <w:gridCol w:w="3552"/>
            </w:tblGrid>
            <w:tr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Ryzyko operacyjne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Downtime</w:t>
                  </w:r>
                </w:p>
              </w:tc>
              <w:tc>
                <w:tcPr>
                  <w:tcW w:type="dxa" w:w="3552"/>
                  <w:shd w:fill="EAF2FF"/>
                  <w:tcMar>
                    <w:top w:w="60" w:type="dxa"/>
                    <w:start w:w="80" w:type="dxa"/>
                    <w:bottom w:w="4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475467"/>
                      <w:sz w:val="14"/>
                    </w:rPr>
                    <w:t>Złożoność</w:t>
                  </w:r>
                </w:p>
              </w:tc>
            </w:tr>
            <w:tr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niskie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minimalny</w:t>
                  </w:r>
                </w:p>
              </w:tc>
              <w:tc>
                <w:tcPr>
                  <w:tcW w:type="dxa" w:w="3552"/>
                  <w:tcMar>
                    <w:top w:w="40" w:type="dxa"/>
                    <w:start w:w="80" w:type="dxa"/>
                    <w:bottom w:w="50" w:type="dxa"/>
                    <w:end w:w="80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ptos" w:hAnsi="Aptos"/>
                      <w:b/>
                      <w:color w:val="0B1220"/>
                      <w:sz w:val="17"/>
                    </w:rPr>
                    <w:t>wysoka</w:t>
                  </w:r>
                </w:p>
              </w:tc>
            </w:tr>
          </w:tbl>
          <w:p/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08"/>
        <w:gridCol w:w="7992"/>
      </w:tblGrid>
      <w:tr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53312" cy="3176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317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/>
                <w:color w:val="36C5F0"/>
                <w:sz w:val="16"/>
              </w:rPr>
              <w:t>EINTELLIX • PORÓWNANIE</w:t>
            </w:r>
          </w:p>
          <w:p>
            <w:r>
              <w:rPr>
                <w:rFonts w:ascii="Aptos Display" w:hAnsi="Aptos Display"/>
                <w:b/>
                <w:color w:val="FFFFFF"/>
                <w:sz w:val="40"/>
              </w:rPr>
              <w:t>Macierz modeli migracji</w:t>
            </w:r>
          </w:p>
          <w:p>
            <w:r>
              <w:rPr>
                <w:rFonts w:ascii="Aptos" w:hAnsi="Aptos"/>
                <w:color w:val="D0D5DD"/>
                <w:sz w:val="18"/>
              </w:rPr>
              <w:t>Porównanie najważniejszych konsekwencji wdrożeniowych</w:t>
            </w:r>
          </w:p>
        </w:tc>
      </w:tr>
    </w:tbl>
    <w:p>
      <w:pPr>
        <w:spacing w:after="20"/>
      </w:pPr>
    </w:p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02  </w:t>
      </w:r>
      <w:r>
        <w:rPr>
          <w:rFonts w:ascii="Aptos Display" w:hAnsi="Aptos Display"/>
          <w:b/>
          <w:color w:val="0B1220"/>
          <w:sz w:val="28"/>
        </w:rPr>
        <w:t>Macierz porównawcza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1656"/>
        <w:gridCol w:w="1656"/>
        <w:gridCol w:w="1800"/>
        <w:gridCol w:w="1872"/>
      </w:tblGrid>
      <w:tr>
        <w:trPr>
          <w:tblHeader w:val="true"/>
        </w:trPr>
        <w:tc>
          <w:tcPr>
            <w:tcW w:type="dxa" w:w="2131"/>
            <w:shd w:fill="0B1220"/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Kryterium</w:t>
            </w:r>
          </w:p>
        </w:tc>
        <w:tc>
          <w:tcPr>
            <w:tcW w:type="dxa" w:w="2131"/>
            <w:shd w:fill="0B1220"/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Big Bang</w:t>
            </w:r>
          </w:p>
        </w:tc>
        <w:tc>
          <w:tcPr>
            <w:tcW w:type="dxa" w:w="2131"/>
            <w:shd w:fill="0B1220"/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Etapowa</w:t>
            </w:r>
          </w:p>
        </w:tc>
        <w:tc>
          <w:tcPr>
            <w:tcW w:type="dxa" w:w="2131"/>
            <w:shd w:fill="0B1220"/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Parallel Run</w:t>
            </w:r>
          </w:p>
        </w:tc>
        <w:tc>
          <w:tcPr>
            <w:tcW w:type="dxa" w:w="2131"/>
            <w:shd w:fill="0B1220"/>
            <w:tcMar>
              <w:top w:w="80" w:type="dxa"/>
              <w:start w:w="70" w:type="dxa"/>
              <w:bottom w:w="80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Synchronizacja</w:t>
            </w:r>
          </w:p>
        </w:tc>
      </w:tr>
      <w:tr>
        <w:tc>
          <w:tcPr>
            <w:tcW w:type="dxa" w:w="288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Czas wdrożenia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krótki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 / długi</w:t>
            </w:r>
          </w:p>
        </w:tc>
        <w:tc>
          <w:tcPr>
            <w:tcW w:type="dxa" w:w="180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długi</w:t>
            </w:r>
          </w:p>
        </w:tc>
        <w:tc>
          <w:tcPr>
            <w:tcW w:type="dxa" w:w="1872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</w:t>
            </w:r>
          </w:p>
        </w:tc>
      </w:tr>
      <w:tr>
        <w:tc>
          <w:tcPr>
            <w:tcW w:type="dxa" w:w="288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Ryzyko operacyjne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wyższe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średnie</w:t>
            </w:r>
          </w:p>
        </w:tc>
        <w:tc>
          <w:tcPr>
            <w:tcW w:type="dxa" w:w="180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niskie</w:t>
            </w:r>
          </w:p>
        </w:tc>
        <w:tc>
          <w:tcPr>
            <w:tcW w:type="dxa" w:w="1872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niskie</w:t>
            </w:r>
          </w:p>
        </w:tc>
      </w:tr>
      <w:tr>
        <w:tc>
          <w:tcPr>
            <w:tcW w:type="dxa" w:w="288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Downtime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większy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mały / średni</w:t>
            </w:r>
          </w:p>
        </w:tc>
        <w:tc>
          <w:tcPr>
            <w:tcW w:type="dxa" w:w="180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mały</w:t>
            </w:r>
          </w:p>
        </w:tc>
        <w:tc>
          <w:tcPr>
            <w:tcW w:type="dxa" w:w="1872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minimalny</w:t>
            </w:r>
          </w:p>
        </w:tc>
      </w:tr>
      <w:tr>
        <w:tc>
          <w:tcPr>
            <w:tcW w:type="dxa" w:w="288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Złożoność techniczna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średnia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średnia / wysoka</w:t>
            </w:r>
          </w:p>
        </w:tc>
        <w:tc>
          <w:tcPr>
            <w:tcW w:type="dxa" w:w="180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wysoka</w:t>
            </w:r>
          </w:p>
        </w:tc>
        <w:tc>
          <w:tcPr>
            <w:tcW w:type="dxa" w:w="1872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wysoka</w:t>
            </w:r>
          </w:p>
        </w:tc>
      </w:tr>
      <w:tr>
        <w:tc>
          <w:tcPr>
            <w:tcW w:type="dxa" w:w="288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Koszt wdrożenia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niższy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średni</w:t>
            </w:r>
          </w:p>
        </w:tc>
        <w:tc>
          <w:tcPr>
            <w:tcW w:type="dxa" w:w="180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wyższy</w:t>
            </w:r>
          </w:p>
        </w:tc>
        <w:tc>
          <w:tcPr>
            <w:tcW w:type="dxa" w:w="1872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wyższy</w:t>
            </w:r>
          </w:p>
        </w:tc>
      </w:tr>
      <w:tr>
        <w:tc>
          <w:tcPr>
            <w:tcW w:type="dxa" w:w="288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Łatwość rollbacku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ograniczona</w:t>
            </w:r>
          </w:p>
        </w:tc>
        <w:tc>
          <w:tcPr>
            <w:tcW w:type="dxa" w:w="165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dobra</w:t>
            </w:r>
          </w:p>
        </w:tc>
        <w:tc>
          <w:tcPr>
            <w:tcW w:type="dxa" w:w="1800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bardzo dobra</w:t>
            </w:r>
          </w:p>
        </w:tc>
        <w:tc>
          <w:tcPr>
            <w:tcW w:type="dxa" w:w="1872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dobra</w:t>
            </w:r>
          </w:p>
        </w:tc>
      </w:tr>
      <w:tr>
        <w:tc>
          <w:tcPr>
            <w:tcW w:type="dxa" w:w="288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left"/>
            </w:pPr>
            <w:r>
              <w:rPr>
                <w:rFonts w:ascii="Aptos" w:hAnsi="Aptos"/>
                <w:b/>
                <w:color w:val="344054"/>
                <w:sz w:val="15"/>
              </w:rPr>
              <w:t>Dla systemu krytycznego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warunkowo</w:t>
            </w:r>
          </w:p>
        </w:tc>
        <w:tc>
          <w:tcPr>
            <w:tcW w:type="dxa" w:w="1656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często tak</w:t>
            </w:r>
          </w:p>
        </w:tc>
        <w:tc>
          <w:tcPr>
            <w:tcW w:type="dxa" w:w="1800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często tak</w:t>
            </w:r>
          </w:p>
        </w:tc>
        <w:tc>
          <w:tcPr>
            <w:tcW w:type="dxa" w:w="1872"/>
            <w:shd w:fill="F8FAFC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344054"/>
                <w:sz w:val="15"/>
              </w:rPr>
              <w:t>często tak</w:t>
            </w:r>
          </w:p>
        </w:tc>
      </w:tr>
    </w:tbl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03  </w:t>
      </w:r>
      <w:r>
        <w:rPr>
          <w:rFonts w:ascii="Aptos Display" w:hAnsi="Aptos Display"/>
          <w:b/>
          <w:color w:val="0B1220"/>
          <w:sz w:val="28"/>
        </w:rPr>
        <w:t>Kryteria wyboru modelu migracji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Krytyczność procesów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Czy przerwa w działaniu systemu wpływa na obsługę klienta, bezpieczeństwo lub operacje?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Dopuszczalny downtime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Ile czasu system może być niedostępny podczas finalnego przełączenia?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Wolumen i dynamika danych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Jak dużo danych trzeba przenieść i jak szybko zmieniają się one w systemie źródłowym?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Liczba integracji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Czy system komunikuje się z ERP, CRM, finansami, pocztą, SMS, API lub innymi systemami?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Jakość danych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Czy potrzebne jest deduplikowanie, czyszczenie lub ujednolicanie danych?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Praca równoległa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Czy procesy mogą czasowo funkcjonować w dwóch środowiskach?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Plan awaryjny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Jak szybko organizacja musi móc wrócić do starego środowiska?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8208"/>
      </w:tblGrid>
      <w:tr>
        <w:tc>
          <w:tcPr>
            <w:tcW w:type="dxa" w:w="5328"/>
            <w:shd w:fill="EEF4FF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b/>
                <w:color w:val="1D4ED8"/>
                <w:sz w:val="14"/>
              </w:rPr>
              <w:t>Termin biznesowy</w:t>
            </w:r>
          </w:p>
        </w:tc>
        <w:tc>
          <w:tcPr>
            <w:tcW w:type="dxa" w:w="5328"/>
            <w:tcMar>
              <w:top w:w="35" w:type="dxa"/>
              <w:start w:w="70" w:type="dxa"/>
              <w:bottom w:w="35" w:type="dxa"/>
              <w:end w:w="70" w:type="dxa"/>
            </w:tcMar>
          </w:tcPr>
          <w:p>
            <w:r>
              <w:rPr>
                <w:rFonts w:ascii="Aptos" w:hAnsi="Aptos"/>
                <w:color w:val="475467"/>
                <w:sz w:val="14"/>
              </w:rPr>
              <w:t>Czy istnieje sztywna data uruchomienia lub wyłączenia starego systemu?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08"/>
        <w:gridCol w:w="7992"/>
      </w:tblGrid>
      <w:tr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353312" cy="31761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317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0B122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/>
                <w:color w:val="36C5F0"/>
                <w:sz w:val="16"/>
              </w:rPr>
              <w:t>EINTELLIX • DECYZJA PROJEKTOWA</w:t>
            </w:r>
          </w:p>
          <w:p>
            <w:r>
              <w:rPr>
                <w:rFonts w:ascii="Aptos Display" w:hAnsi="Aptos Display"/>
                <w:b/>
                <w:color w:val="FFFFFF"/>
                <w:sz w:val="40"/>
              </w:rPr>
              <w:t>Sposób dojścia do decyzji</w:t>
            </w:r>
          </w:p>
          <w:p>
            <w:r>
              <w:rPr>
                <w:rFonts w:ascii="Aptos" w:hAnsi="Aptos"/>
                <w:color w:val="D0D5DD"/>
                <w:sz w:val="18"/>
              </w:rPr>
              <w:t>Etapy potwierdzenia wariantu migracji po pierwszym spotkaniu</w:t>
            </w:r>
          </w:p>
        </w:tc>
      </w:tr>
    </w:tbl>
    <w:p>
      <w:pPr>
        <w:spacing w:after="20"/>
      </w:pPr>
    </w:p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04  </w:t>
      </w:r>
      <w:r>
        <w:rPr>
          <w:rFonts w:ascii="Aptos Display" w:hAnsi="Aptos Display"/>
          <w:b/>
          <w:color w:val="0B1220"/>
          <w:sz w:val="28"/>
        </w:rPr>
        <w:t>Proponowany sposób dojścia do decyzji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0B1220"/>
            <w:tcMar>
              <w:top w:w="90" w:type="dxa"/>
              <w:start w:w="85" w:type="dxa"/>
              <w:bottom w:w="90" w:type="dxa"/>
              <w:end w:w="85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color w:val="36C5F0"/>
                <w:sz w:val="26"/>
              </w:rPr>
              <w:t>1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Kwestionariusz</w:t>
            </w:r>
          </w:p>
          <w:p>
            <w:pPr>
              <w:jc w:val="center"/>
            </w:pPr>
            <w:r>
              <w:rPr>
                <w:rFonts w:ascii="Aptos" w:hAnsi="Aptos"/>
                <w:color w:val="D0D5DD"/>
                <w:sz w:val="13"/>
              </w:rPr>
              <w:t>informacje o systemach, danych, integracjach i wymaganiach</w:t>
            </w:r>
          </w:p>
        </w:tc>
        <w:tc>
          <w:tcPr>
            <w:tcW w:type="dxa" w:w="2664"/>
            <w:shd w:fill="EEF4FF"/>
            <w:tcMar>
              <w:top w:w="90" w:type="dxa"/>
              <w:start w:w="85" w:type="dxa"/>
              <w:bottom w:w="90" w:type="dxa"/>
              <w:end w:w="85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color w:val="2563EB"/>
                <w:sz w:val="26"/>
              </w:rPr>
              <w:t>2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0B1220"/>
                <w:sz w:val="16"/>
              </w:rPr>
              <w:t>Warsztat</w:t>
            </w:r>
          </w:p>
          <w:p>
            <w:pPr>
              <w:jc w:val="center"/>
            </w:pPr>
            <w:r>
              <w:rPr>
                <w:rFonts w:ascii="Aptos" w:hAnsi="Aptos"/>
                <w:color w:val="475467"/>
                <w:sz w:val="13"/>
              </w:rPr>
              <w:t>weryfikacja odpowiedzi z IT i właścicielami procesów</w:t>
            </w:r>
          </w:p>
        </w:tc>
        <w:tc>
          <w:tcPr>
            <w:tcW w:type="dxa" w:w="2664"/>
            <w:shd w:fill="EEF4FF"/>
            <w:tcMar>
              <w:top w:w="90" w:type="dxa"/>
              <w:start w:w="85" w:type="dxa"/>
              <w:bottom w:w="90" w:type="dxa"/>
              <w:end w:w="85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color w:val="2563EB"/>
                <w:sz w:val="26"/>
              </w:rPr>
              <w:t>3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0B1220"/>
                <w:sz w:val="16"/>
              </w:rPr>
              <w:t>Próbka / audyt</w:t>
            </w:r>
          </w:p>
          <w:p>
            <w:pPr>
              <w:jc w:val="center"/>
            </w:pPr>
            <w:r>
              <w:rPr>
                <w:rFonts w:ascii="Aptos" w:hAnsi="Aptos"/>
                <w:color w:val="475467"/>
                <w:sz w:val="13"/>
              </w:rPr>
              <w:t>ocena jakości danych i możliwości eksportu / synchronizacji</w:t>
            </w:r>
          </w:p>
        </w:tc>
        <w:tc>
          <w:tcPr>
            <w:tcW w:type="dxa" w:w="2664"/>
            <w:shd w:fill="0B1220"/>
            <w:tcMar>
              <w:top w:w="90" w:type="dxa"/>
              <w:start w:w="85" w:type="dxa"/>
              <w:bottom w:w="90" w:type="dxa"/>
              <w:end w:w="85" w:type="dxa"/>
            </w:tcMar>
          </w:tcPr>
          <w:p>
            <w:pPr>
              <w:jc w:val="center"/>
            </w:pPr>
            <w:r>
              <w:rPr>
                <w:rFonts w:ascii="Aptos Display" w:hAnsi="Aptos Display"/>
                <w:b/>
                <w:color w:val="36C5F0"/>
                <w:sz w:val="26"/>
              </w:rPr>
              <w:t>4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Wariant docelowy</w:t>
            </w:r>
          </w:p>
          <w:p>
            <w:pPr>
              <w:jc w:val="center"/>
            </w:pPr>
            <w:r>
              <w:rPr>
                <w:rFonts w:ascii="Aptos" w:hAnsi="Aptos"/>
                <w:color w:val="D0D5DD"/>
                <w:sz w:val="13"/>
              </w:rPr>
              <w:t>model lub model hybrydowy wraz z harmonogramem i wyceną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CFDF3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nil"/>
              <w:left w:val="single" w:sz="18" w:color="12B76A"/>
              <w:bottom w:val="nil"/>
              <w:right w:val="nil"/>
            </w:tcBorders>
          </w:tcPr>
          <w:p>
            <w:r>
              <w:rPr>
                <w:rFonts w:ascii="Aptos" w:hAnsi="Aptos"/>
                <w:b/>
                <w:color w:val="0B1220"/>
                <w:sz w:val="19"/>
              </w:rPr>
              <w:t>Założenie EINTELLIX</w:t>
            </w:r>
          </w:p>
          <w:p>
            <w:pPr>
              <w:spacing w:after="0" w:line="259" w:lineRule="auto"/>
            </w:pPr>
            <w:r>
              <w:rPr>
                <w:rFonts w:ascii="Aptos" w:hAnsi="Aptos"/>
                <w:color w:val="344054"/>
                <w:sz w:val="17"/>
              </w:rPr>
              <w:t>Model migracji powinien wynikać z faktów dotyczących środowiska i procesów klienta. Na etapie pierwszego spotkania celem jest zawężenie wariantów, identyfikacja danych niezbędnych do decyzji oraz określenie zakresu analizy przedwdrożeniowej.</w:t>
            </w:r>
          </w:p>
        </w:tc>
      </w:tr>
    </w:tbl>
    <w:p>
      <w:pPr>
        <w:spacing w:after="0"/>
      </w:pPr>
    </w:p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05  </w:t>
      </w:r>
      <w:r>
        <w:rPr>
          <w:rFonts w:ascii="Aptos Display" w:hAnsi="Aptos Display"/>
          <w:b/>
          <w:color w:val="0B1220"/>
          <w:sz w:val="28"/>
        </w:rPr>
        <w:t>Co powinno zostać ustalone po pierwszym spotkaniu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systemy i źródła danych objęte analizą</w:t>
            </w:r>
          </w:p>
        </w:tc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orientacyjny wolumen i rodzaje danych</w:t>
            </w:r>
          </w:p>
        </w:tc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dopuszczalny czas niedostępności</w:t>
            </w:r>
          </w:p>
        </w:tc>
      </w:tr>
      <w:tr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wymagania bezpieczeństwa i ciągłości działania</w:t>
            </w:r>
          </w:p>
        </w:tc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materiały techniczne do przekazania EINTELLIX</w:t>
            </w:r>
          </w:p>
        </w:tc>
        <w:tc>
          <w:tcPr>
            <w:tcW w:type="dxa" w:w="3552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Aptos" w:hAnsi="Aptos"/>
                <w:color w:val="344054"/>
                <w:sz w:val="15"/>
              </w:rPr>
              <w:t>• zakres audytu / migracji próbnej i dalszy harmonogram</w:t>
            </w:r>
          </w:p>
        </w:tc>
      </w:tr>
    </w:tbl>
    <w:p>
      <w:pPr>
        <w:spacing w:before="100" w:after="80"/>
      </w:pPr>
      <w:r>
        <w:rPr>
          <w:rFonts w:ascii="Aptos" w:hAnsi="Aptos"/>
          <w:b/>
          <w:color w:val="2563EB"/>
          <w:sz w:val="20"/>
        </w:rPr>
        <w:t xml:space="preserve">06  </w:t>
      </w:r>
      <w:r>
        <w:rPr>
          <w:rFonts w:ascii="Aptos Display" w:hAnsi="Aptos Display"/>
          <w:b/>
          <w:color w:val="0B1220"/>
          <w:sz w:val="28"/>
        </w:rPr>
        <w:t>Kontakt projektowy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0B1220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Jerzy Wyszomirski</w:t>
            </w:r>
          </w:p>
          <w:p>
            <w:r>
              <w:rPr>
                <w:rFonts w:ascii="Aptos" w:hAnsi="Aptos"/>
                <w:color w:val="D0D5DD"/>
                <w:sz w:val="16"/>
              </w:rPr>
              <w:t>Wiceprezes Zarządu</w:t>
            </w:r>
          </w:p>
          <w:p>
            <w:r>
              <w:rPr>
                <w:rFonts w:ascii="Aptos" w:hAnsi="Aptos"/>
                <w:color w:val="D0D5DD"/>
                <w:sz w:val="16"/>
              </w:rPr>
              <w:t>EINTELLIX Sp. z o.o.</w:t>
            </w:r>
          </w:p>
        </w:tc>
        <w:tc>
          <w:tcPr>
            <w:tcW w:type="dxa" w:w="5328"/>
            <w:shd w:fill="F8FAFC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Aptos" w:hAnsi="Aptos"/>
                <w:b/>
                <w:color w:val="0B1220"/>
                <w:sz w:val="18"/>
              </w:rPr>
              <w:t>+48 530 723 223</w:t>
            </w:r>
          </w:p>
          <w:p>
            <w:r>
              <w:rPr>
                <w:rFonts w:ascii="Aptos" w:hAnsi="Aptos"/>
                <w:color w:val="475467"/>
                <w:sz w:val="16"/>
              </w:rPr>
              <w:t>jerzy.wyszomirski@eintellix.com</w:t>
            </w:r>
          </w:p>
          <w:p>
            <w:r>
              <w:rPr>
                <w:rFonts w:ascii="Aptos" w:hAnsi="Aptos"/>
                <w:color w:val="475467"/>
                <w:sz w:val="16"/>
              </w:rPr>
              <w:t>www.eintellix.com</w:t>
            </w:r>
          </w:p>
          <w:p>
            <w:r>
              <w:rPr>
                <w:rFonts w:ascii="Aptos" w:hAnsi="Aptos"/>
                <w:color w:val="475467"/>
                <w:sz w:val="16"/>
              </w:rPr>
              <w:t>ul. Parowcowa 43 lok. 4, 02-440 Warszawa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7085"/>
        <w:sz w:val="15"/>
      </w:rPr>
      <w:t>EINTELLIX Sp. z o.o.  |  www.eintellix.com  |  kontakt@eintellix.com  |  +48 502 743 825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